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caps w:val="false"/>
          <w:smallCaps w:val="false"/>
        </w:rPr>
      </w:pPr>
      <w:bookmarkStart w:id="0" w:name="koss-20260827x8k.htm"/>
      <w:bookmarkStart w:id="1" w:name="kskoss20260827x8k"/>
      <w:bookmarkEnd w:id="0"/>
      <w:bookmarkEnd w:id="1"/>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UNITED STATES</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FORM 8-K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CURRENT REPORT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PURSUANT TO SECTION 13 or 15(d) OF THE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EXCHANGE ACT OF 1934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of Report (Date of earliest event reported): August 27,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p>
      <w:pPr>
        <w:pStyle w:val="TextBody"/>
        <w:bidi w:val="0"/>
        <w:spacing w:lineRule="auto" w:line="259"/>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691"/>
        <w:gridCol w:w="2296"/>
        <w:gridCol w:w="2896"/>
      </w:tblGrid>
      <w:tr>
        <w:trPr/>
        <w:tc>
          <w:tcPr>
            <w:tcW w:w="369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Delaware</w:t>
            </w:r>
          </w:p>
        </w:tc>
        <w:tc>
          <w:tcPr>
            <w:tcW w:w="229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0-3295</w:t>
            </w:r>
          </w:p>
        </w:tc>
        <w:tc>
          <w:tcPr>
            <w:tcW w:w="289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39-1168275</w:t>
            </w:r>
          </w:p>
        </w:tc>
      </w:tr>
      <w:tr>
        <w:trPr/>
        <w:tc>
          <w:tcPr>
            <w:tcW w:w="3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or other Jurisdiction of Incorporation)</w:t>
            </w:r>
          </w:p>
        </w:tc>
        <w:tc>
          <w:tcPr>
            <w:tcW w:w="22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(Commission File Number)</w:t>
            </w:r>
          </w:p>
        </w:tc>
        <w:tc>
          <w:tcPr>
            <w:tcW w:w="28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(IRS Employer Identification No.)</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4129 North Port Washington Avenue, Milwaukee, Wisconsin</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53212</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  (Zip code)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(414) 964-5000</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 Applicable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(Former Name or Former Address, if Changed Since Last Report)</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lineRule="auto" w:line="259"/>
        <w:rPr>
          <w:caps w:val="false"/>
          <w:smallCaps w:val="false"/>
        </w:rPr>
      </w:pPr>
      <w:r>
        <w:rPr>
          <w:caps w:val="false"/>
          <w:smallCaps w:val="false"/>
        </w:rPr>
        <w:t> </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7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Written communications pursuant to Rule 425 under the Securities Act (17 CFR 230.425)</w:t>
            </w:r>
          </w:p>
        </w:tc>
      </w:tr>
    </w:tbl>
    <w:p>
      <w:pPr>
        <w:pStyle w:val="TextBody"/>
        <w:bidi w:val="0"/>
        <w:spacing w:lineRule="auto" w:line="259"/>
        <w:rPr>
          <w:caps w:val="false"/>
          <w:smallCaps w:val="false"/>
        </w:rPr>
      </w:pPr>
      <w:r>
        <w:rPr>
          <w:caps w:val="false"/>
          <w:smallCaps w:val="false"/>
        </w:rPr>
        <w:t> </w:t>
      </w:r>
    </w:p>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7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Soliciting material pursuant to Rule 14a-12 under the Exchange Act (17 CFR 240.14a-12)</w:t>
            </w:r>
          </w:p>
        </w:tc>
      </w:tr>
    </w:tbl>
    <w:p>
      <w:pPr>
        <w:pStyle w:val="TextBody"/>
        <w:bidi w:val="0"/>
        <w:spacing w:lineRule="auto" w:line="259"/>
        <w:rPr>
          <w:caps w:val="false"/>
          <w:smallCaps w:val="false"/>
        </w:rPr>
      </w:pPr>
      <w:r>
        <w:rPr>
          <w:caps w:val="false"/>
          <w:smallCaps w:val="false"/>
        </w:rPr>
        <w:t> </w:t>
      </w:r>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14d-2(b) under the Exchange Act (17 CFR 240.14d-2(b))</w:t>
            </w:r>
          </w:p>
        </w:tc>
      </w:tr>
    </w:tbl>
    <w:p>
      <w:pPr>
        <w:pStyle w:val="TextBody"/>
        <w:bidi w:val="0"/>
        <w:spacing w:lineRule="auto" w:line="259"/>
        <w:rPr>
          <w:caps w:val="false"/>
          <w:smallCaps w:val="false"/>
        </w:rPr>
      </w:pPr>
      <w:r>
        <w:rPr>
          <w:caps w:val="false"/>
          <w:smallCaps w:val="false"/>
        </w:rPr>
        <w:t> </w:t>
      </w:r>
    </w:p>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9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13e-4(c) under the Exchange Act (17 CFR 240.13e-4(c))</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Securities registered pursuant to Section 12(b) of the Act:</w:t>
        <w:br/>
        <w:t>‎</w:t>
      </w:r>
      <w:r>
        <w:rPr>
          <w:rFonts w:ascii="Times New Roman;serif" w:hAnsi="Times New Roman;serif"/>
          <w:caps w:val="false"/>
          <w:smallCaps w:val="false"/>
          <w:sz w:val="20"/>
        </w:rPr>
        <w:t> </w:t>
      </w:r>
    </w:p>
    <w:tbl>
      <w:tblPr>
        <w:tblW w:w="8928" w:type="dxa"/>
        <w:jc w:val="left"/>
        <w:tblInd w:w="0" w:type="dxa"/>
        <w:tblLayout w:type="fixed"/>
        <w:tblCellMar>
          <w:top w:w="0" w:type="dxa"/>
          <w:left w:w="0" w:type="dxa"/>
          <w:bottom w:w="0" w:type="dxa"/>
          <w:right w:w="0"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Title of each class</w:t>
            </w:r>
          </w:p>
        </w:tc>
        <w:tc>
          <w:tcPr>
            <w:tcW w:w="1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Trading Symbol(s)</w:t>
            </w:r>
          </w:p>
        </w:tc>
        <w:tc>
          <w:tcPr>
            <w:tcW w:w="3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each exchange on which registered</w:t>
            </w:r>
          </w:p>
        </w:tc>
      </w:tr>
      <w:tr>
        <w:trPr/>
        <w:tc>
          <w:tcPr>
            <w:tcW w:w="36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Common Stock, $0.005 par value per share</w:t>
            </w:r>
          </w:p>
        </w:tc>
        <w:tc>
          <w:tcPr>
            <w:tcW w:w="1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w:t>
            </w:r>
          </w:p>
        </w:tc>
        <w:tc>
          <w:tcPr>
            <w:tcW w:w="370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Nasdaq</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Capital Market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Emerging growth company </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2.02     Results of Operations and Financial Condition.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On August 27, 2026, Koss Corporation issued a press release (the “Press Release”) announcing its financial results for the quarter and year ended </w:t>
      </w:r>
      <w:bookmarkStart w:id="2" w:name="led29080F20203271588019349229"/>
      <w:bookmarkEnd w:id="2"/>
      <w:r>
        <w:rPr>
          <w:rFonts w:ascii="Times New Roman;serif" w:hAnsi="Times New Roman;serif"/>
          <w:b w:val="false"/>
          <w:i w:val="false"/>
          <w:caps w:val="false"/>
          <w:smallCaps w:val="false"/>
          <w:sz w:val="20"/>
        </w:rPr>
        <w:t>June 30, 2026.  A copy of the Press Release is being furnished as Exhibit 99.1 to this Form 8-K and is incorporated herein by reference.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information in this Item 2.02 Results of Operations and Financial Condition, including Exhibit 99.1 attached hereto, is being furnished pursuant to Item 2.02 of Form 8-K. In accordance with General Instruction B.2 of Form 8-K, the information in this Item 2.02 and Exhibit 99.1 shall not be deemed to be “filed” for purposes of Section 18 of the Securities Exchange Act of 1934, as amended, nor shall it be deemed incorporated by reference in any filing under the Securities Act of 1933, as amended, or the Securities Exchange Act of 1934, as amended.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9.01     Financial Statements and Exhibits.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 Exhibits</w:t>
      </w:r>
    </w:p>
    <w:p>
      <w:pPr>
        <w:pStyle w:val="TextBody"/>
        <w:bidi w:val="0"/>
        <w:spacing w:lineRule="auto" w:line="259"/>
        <w:rPr>
          <w:caps w:val="false"/>
          <w:smallCaps w:val="false"/>
        </w:rPr>
      </w:pPr>
      <w:r>
        <w:rPr>
          <w:caps w:val="false"/>
          <w:smallCaps w:val="false"/>
        </w:rPr>
        <w:t> </w:t>
      </w:r>
    </w:p>
    <w:tbl>
      <w:tblPr>
        <w:tblW w:w="7742" w:type="dxa"/>
        <w:jc w:val="left"/>
        <w:tblInd w:w="0" w:type="dxa"/>
        <w:tblLayout w:type="fixed"/>
        <w:tblCellMar>
          <w:top w:w="0" w:type="dxa"/>
          <w:left w:w="0" w:type="dxa"/>
          <w:bottom w:w="0" w:type="dxa"/>
          <w:right w:w="0" w:type="dxa"/>
        </w:tblCellMar>
      </w:tblPr>
      <w:tblGrid>
        <w:gridCol w:w="1141"/>
        <w:gridCol w:w="6601"/>
      </w:tblGrid>
      <w:tr>
        <w:trPr/>
        <w:tc>
          <w:tcPr>
            <w:tcW w:w="114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Number</w:t>
            </w:r>
          </w:p>
        </w:tc>
        <w:tc>
          <w:tcPr>
            <w:tcW w:w="66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Description</w:t>
            </w:r>
          </w:p>
        </w:tc>
      </w:tr>
      <w:tr>
        <w:trPr/>
        <w:tc>
          <w:tcPr>
            <w:tcW w:w="114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Exhibit 99.1</w:t>
            </w:r>
          </w:p>
        </w:tc>
        <w:tc>
          <w:tcPr>
            <w:tcW w:w="6601" w:type="dxa"/>
            <w:tcBorders/>
            <w:vAlign w:val="center"/>
          </w:tcPr>
          <w:p>
            <w:pPr>
              <w:pStyle w:val="TableContents"/>
              <w:bidi w:val="0"/>
              <w:spacing w:lineRule="auto" w:line="259" w:before="0" w:after="283"/>
              <w:jc w:val="left"/>
              <w:rPr/>
            </w:pPr>
            <w:hyperlink w:anchor="koss-20260827xex99_1.htm">
              <w:r>
                <w:rPr>
                  <w:rStyle w:val="InternetLink"/>
                  <w:rFonts w:ascii="Times New Roman;serif" w:hAnsi="Times New Roman;serif"/>
                  <w:b w:val="false"/>
                  <w:i w:val="false"/>
                  <w:caps w:val="false"/>
                  <w:smallCaps w:val="false"/>
                  <w:color w:val="0000FF"/>
                  <w:sz w:val="20"/>
                  <w:u w:val="single"/>
                </w:rPr>
                <w:t>Press release of Koss Corporation dated August 27, 2026</w:t>
              </w:r>
            </w:hyperlink>
          </w:p>
        </w:tc>
      </w:tr>
      <w:tr>
        <w:trPr/>
        <w:tc>
          <w:tcPr>
            <w:tcW w:w="11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Exhibit 104</w:t>
            </w:r>
          </w:p>
        </w:tc>
        <w:tc>
          <w:tcPr>
            <w:tcW w:w="66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Cover Page Interactive Data File (embedded within the Inline XBRL document)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5133" w:type="dxa"/>
        <w:jc w:val="left"/>
        <w:tblInd w:w="0" w:type="dxa"/>
        <w:tblLayout w:type="fixed"/>
        <w:tblCellMar>
          <w:top w:w="0" w:type="dxa"/>
          <w:left w:w="0" w:type="dxa"/>
          <w:bottom w:w="0" w:type="dxa"/>
          <w:right w:w="0" w:type="dxa"/>
        </w:tblCellMar>
      </w:tblPr>
      <w:tblGrid>
        <w:gridCol w:w="1471"/>
        <w:gridCol w:w="406"/>
        <w:gridCol w:w="3256"/>
      </w:tblGrid>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4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August 27, 2026</w:t>
            </w:r>
          </w:p>
        </w:tc>
        <w:tc>
          <w:tcPr>
            <w:tcW w:w="3662"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 CORPORATION</w:t>
            </w:r>
          </w:p>
        </w:tc>
      </w:tr>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w:t>
            </w:r>
          </w:p>
        </w:tc>
        <w:tc>
          <w:tcPr>
            <w:tcW w:w="325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Michael J. Koss</w:t>
            </w:r>
          </w:p>
        </w:tc>
      </w:tr>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Michael J. Koss</w:t>
            </w:r>
          </w:p>
        </w:tc>
      </w:tr>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Chairman and Chief Executive Officer</w:t>
            </w:r>
          </w:p>
        </w:tc>
      </w:tr>
    </w:tbl>
    <w:p>
      <w:pPr>
        <w:pStyle w:val="TextBody"/>
        <w:bidi w:val="0"/>
        <w:spacing w:before="0" w:after="0"/>
        <w:ind w:left="864" w:right="864" w:hanging="0"/>
        <w:jc w:val="left"/>
        <w:rPr/>
      </w:pPr>
      <w:bookmarkStart w:id="3" w:name="koss-20260827xex99_1.htm"/>
      <w:bookmarkStart w:id="4" w:name="kskoss20260827xex99_1"/>
      <w:bookmarkEnd w:id="3"/>
      <w:bookmarkEnd w:id="4"/>
      <w:r>
        <w:rPr/>
        <w:t xml:space="preserve">  </w:t>
      </w:r>
      <w:r>
        <w:br w:type="page"/>
      </w:r>
    </w:p>
    <w:p>
      <w:pPr>
        <w:pStyle w:val="TextBody"/>
        <w:bidi w:val="0"/>
        <w:spacing w:before="0" w:after="0"/>
        <w:ind w:left="864" w:right="864" w:hanging="0"/>
        <w:jc w:val="right"/>
        <w:rPr/>
      </w:pPr>
      <w:r>
        <w:rPr/>
        <w:t xml:space="preserve">  </w:t>
      </w:r>
    </w:p>
    <w:p>
      <w:pPr>
        <w:pStyle w:val="TextBody"/>
        <w:bidi w:val="0"/>
        <w:spacing w:before="0" w:after="0"/>
        <w:ind w:left="864" w:right="864" w:hanging="0"/>
        <w:jc w:val="left"/>
        <w:rPr/>
      </w:pPr>
      <w:r>
        <w:rPr/>
        <w:drawing>
          <wp:inline distT="0" distB="0" distL="0" distR="0">
            <wp:extent cx="5943600" cy="791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91210"/>
                    </a:xfrm>
                    <a:prstGeom prst="rect">
                      <a:avLst/>
                    </a:prstGeom>
                  </pic:spPr>
                </pic:pic>
              </a:graphicData>
            </a:graphic>
          </wp:inline>
        </w:drawing>
      </w:r>
      <w:r>
        <w:rPr/>
        <w:t xml:space="preserve"> </w:t>
      </w:r>
    </w:p>
    <w:p>
      <w:pPr>
        <w:pStyle w:val="TextBody"/>
        <w:bidi w:val="0"/>
        <w:spacing w:before="0" w:after="0"/>
        <w:ind w:left="864" w:right="864" w:hanging="0"/>
        <w:jc w:val="left"/>
        <w:rPr/>
      </w:pPr>
      <w:r>
        <w:rPr/>
        <w:t xml:space="preserve">  </w:t>
      </w:r>
    </w:p>
    <w:tbl>
      <w:tblPr>
        <w:tblW w:w="5250" w:type="dxa"/>
        <w:jc w:val="left"/>
        <w:tblInd w:w="720" w:type="dxa"/>
        <w:tblLayout w:type="fixed"/>
        <w:tblCellMar>
          <w:top w:w="0" w:type="dxa"/>
          <w:left w:w="0" w:type="dxa"/>
          <w:bottom w:w="0" w:type="dxa"/>
          <w:right w:w="0" w:type="dxa"/>
        </w:tblCellMar>
      </w:tblPr>
      <w:tblGrid>
        <w:gridCol w:w="2630"/>
        <w:gridCol w:w="1040"/>
        <w:gridCol w:w="1580"/>
      </w:tblGrid>
      <w:tr>
        <w:trPr/>
        <w:tc>
          <w:tcPr>
            <w:tcW w:w="2630"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1040" w:type="dxa"/>
            <w:tcBorders/>
            <w:vAlign w:val="bottom"/>
          </w:tcPr>
          <w:p>
            <w:pPr>
              <w:pStyle w:val="TableContents"/>
              <w:bidi w:val="0"/>
              <w:spacing w:before="0" w:after="0"/>
              <w:ind w:left="0" w:right="0" w:hanging="0"/>
              <w:jc w:val="left"/>
              <w:rPr/>
            </w:pPr>
            <w:r>
              <w:rPr/>
              <w:t> </w:t>
            </w:r>
          </w:p>
        </w:tc>
        <w:tc>
          <w:tcPr>
            <w:tcW w:w="1580" w:type="dxa"/>
            <w:tcBorders/>
            <w:vAlign w:val="bottom"/>
          </w:tcPr>
          <w:p>
            <w:pPr>
              <w:pStyle w:val="TableContents"/>
              <w:bidi w:val="0"/>
              <w:spacing w:before="0" w:after="0"/>
              <w:ind w:left="0" w:right="0" w:hanging="0"/>
              <w:jc w:val="left"/>
              <w:rPr/>
            </w:pPr>
            <w:r>
              <w:rPr/>
              <w:t> </w:t>
            </w:r>
          </w:p>
        </w:tc>
      </w:tr>
      <w:tr>
        <w:trPr/>
        <w:tc>
          <w:tcPr>
            <w:tcW w:w="2630" w:type="dxa"/>
            <w:tcBorders/>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FOR IMMEDIATE RELEASE</w:t>
            </w:r>
          </w:p>
        </w:tc>
        <w:tc>
          <w:tcPr>
            <w:tcW w:w="104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CONTACT:</w:t>
            </w:r>
          </w:p>
        </w:tc>
        <w:tc>
          <w:tcPr>
            <w:tcW w:w="158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Michael J. Koss</w:t>
            </w:r>
          </w:p>
        </w:tc>
      </w:tr>
      <w:tr>
        <w:trPr/>
        <w:tc>
          <w:tcPr>
            <w:tcW w:w="2630" w:type="dxa"/>
            <w:tcBorders/>
            <w:vAlign w:val="bottom"/>
          </w:tcPr>
          <w:p>
            <w:pPr>
              <w:pStyle w:val="TableContents"/>
              <w:bidi w:val="0"/>
              <w:spacing w:before="0" w:after="0"/>
              <w:ind w:left="0" w:right="0" w:hanging="0"/>
              <w:jc w:val="both"/>
              <w:rPr>
                <w:rFonts w:ascii="Times New Roman" w:hAnsi="Times New Roman"/>
                <w:sz w:val="20"/>
              </w:rPr>
            </w:pPr>
            <w:r>
              <w:rPr>
                <w:rFonts w:ascii="Times New Roman" w:hAnsi="Times New Roman"/>
                <w:b/>
                <w:color w:val="000000"/>
                <w:sz w:val="20"/>
              </w:rPr>
              <w:t>August</w:t>
            </w:r>
            <w:r>
              <w:rPr>
                <w:rFonts w:ascii="Times New Roman" w:hAnsi="Times New Roman"/>
                <w:color w:val="000000"/>
                <w:sz w:val="20"/>
              </w:rPr>
              <w:t> </w:t>
            </w:r>
            <w:r>
              <w:rPr>
                <w:rFonts w:ascii="Times New Roman" w:hAnsi="Times New Roman"/>
                <w:b/>
                <w:color w:val="000000"/>
                <w:sz w:val="20"/>
              </w:rPr>
              <w:t>27, 2026</w:t>
            </w:r>
          </w:p>
        </w:tc>
        <w:tc>
          <w:tcPr>
            <w:tcW w:w="1040" w:type="dxa"/>
            <w:tcBorders/>
            <w:vAlign w:val="bottom"/>
          </w:tcPr>
          <w:p>
            <w:pPr>
              <w:pStyle w:val="TableContents"/>
              <w:bidi w:val="0"/>
              <w:spacing w:before="0" w:after="0"/>
              <w:ind w:left="0" w:right="0" w:hanging="0"/>
              <w:jc w:val="left"/>
              <w:rPr/>
            </w:pPr>
            <w:r>
              <w:rPr/>
              <w:t> </w:t>
            </w:r>
          </w:p>
        </w:tc>
        <w:tc>
          <w:tcPr>
            <w:tcW w:w="158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Chairman &amp; CEO</w:t>
            </w:r>
          </w:p>
        </w:tc>
      </w:tr>
      <w:tr>
        <w:trPr/>
        <w:tc>
          <w:tcPr>
            <w:tcW w:w="2630"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0" w:hanging="0"/>
              <w:jc w:val="left"/>
              <w:rPr/>
            </w:pPr>
            <w:r>
              <w:rPr/>
              <w:t> </w:t>
            </w:r>
          </w:p>
        </w:tc>
        <w:tc>
          <w:tcPr>
            <w:tcW w:w="158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(414) 964-5000</w:t>
            </w:r>
          </w:p>
        </w:tc>
      </w:tr>
      <w:tr>
        <w:trPr/>
        <w:tc>
          <w:tcPr>
            <w:tcW w:w="2630"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0" w:hanging="0"/>
              <w:jc w:val="left"/>
              <w:rPr/>
            </w:pPr>
            <w:r>
              <w:rPr/>
              <w:t> </w:t>
            </w:r>
          </w:p>
        </w:tc>
        <w:tc>
          <w:tcPr>
            <w:tcW w:w="158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mjkoss@koss.com</w:t>
            </w:r>
          </w:p>
        </w:tc>
      </w:tr>
    </w:tbl>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864" w:right="864" w:hanging="0"/>
        <w:jc w:val="center"/>
        <w:rPr/>
      </w:pPr>
      <w:r>
        <w:rPr/>
        <w:t xml:space="preserve">  </w:t>
      </w:r>
    </w:p>
    <w:p>
      <w:pPr>
        <w:pStyle w:val="TextBody"/>
        <w:bidi w:val="0"/>
        <w:spacing w:before="0" w:after="0"/>
        <w:ind w:left="864" w:right="864" w:hanging="0"/>
        <w:jc w:val="center"/>
        <w:rPr>
          <w:rFonts w:ascii="Times New Roman" w:hAnsi="Times New Roman"/>
          <w:sz w:val="24"/>
        </w:rPr>
      </w:pPr>
      <w:r>
        <w:rPr>
          <w:rFonts w:ascii="Times New Roman" w:hAnsi="Times New Roman"/>
          <w:b/>
          <w:sz w:val="24"/>
        </w:rPr>
        <w:t>Koss Corporation Releases Fourth Quarter</w:t>
      </w:r>
      <w:r>
        <w:rPr>
          <w:rFonts w:ascii="Times New Roman" w:hAnsi="Times New Roman"/>
          <w:sz w:val="24"/>
        </w:rPr>
        <w:t xml:space="preserve"> </w:t>
      </w:r>
      <w:r>
        <w:rPr>
          <w:rFonts w:ascii="Times New Roman" w:hAnsi="Times New Roman"/>
          <w:b/>
          <w:sz w:val="24"/>
        </w:rPr>
        <w:t>and Full Year</w:t>
      </w:r>
      <w:r>
        <w:rPr>
          <w:rFonts w:ascii="Times New Roman" w:hAnsi="Times New Roman"/>
          <w:sz w:val="24"/>
        </w:rPr>
        <w:t xml:space="preserve"> </w:t>
      </w:r>
      <w:r>
        <w:rPr>
          <w:rFonts w:ascii="Times New Roman" w:hAnsi="Times New Roman"/>
          <w:b/>
          <w:sz w:val="24"/>
        </w:rPr>
        <w:t>Results</w:t>
      </w:r>
      <w:r>
        <w:rPr>
          <w:rFonts w:ascii="Times New Roman" w:hAnsi="Times New Roman"/>
          <w:sz w:val="24"/>
        </w:rPr>
        <w:t xml:space="preserve"> </w:t>
      </w:r>
    </w:p>
    <w:p>
      <w:pPr>
        <w:pStyle w:val="TextBody"/>
        <w:bidi w:val="0"/>
        <w:spacing w:before="0" w:after="0"/>
        <w:ind w:left="864" w:right="864" w:hanging="0"/>
        <w:jc w:val="center"/>
        <w:rPr/>
      </w:pPr>
      <w:r>
        <w:rPr/>
        <w:t xml:space="preserve">  </w:t>
      </w:r>
    </w:p>
    <w:p>
      <w:pPr>
        <w:pStyle w:val="TextBody"/>
        <w:bidi w:val="0"/>
        <w:spacing w:before="0" w:after="0"/>
        <w:ind w:left="864" w:right="864" w:hanging="0"/>
        <w:jc w:val="both"/>
        <w:rPr>
          <w:rFonts w:ascii="Times New Roman" w:hAnsi="Times New Roman"/>
          <w:sz w:val="20"/>
        </w:rPr>
      </w:pPr>
      <w:r>
        <w:rPr>
          <w:rFonts w:ascii="Times New Roman" w:hAnsi="Times New Roman"/>
          <w:b/>
          <w:sz w:val="20"/>
        </w:rPr>
        <w:t>Milwaukee, Wisconsin:</w:t>
      </w:r>
      <w:r>
        <w:rPr>
          <w:rFonts w:ascii="Times New Roman" w:hAnsi="Times New Roman"/>
          <w:sz w:val="20"/>
        </w:rPr>
        <w:t xml:space="preserve"> Koss Corporation (NASDAQ: KOSS) (the “Company”), the U.S. based high-fidelity head</w:t>
      </w:r>
      <w:bookmarkStart w:id="5" w:name="led29080F20191051572974805001"/>
      <w:bookmarkEnd w:id="5"/>
      <w:r>
        <w:rPr>
          <w:rFonts w:ascii="Times New Roman" w:hAnsi="Times New Roman"/>
          <w:sz w:val="20"/>
        </w:rPr>
        <w:t>phone company, has reported its results for the fourth quarter and fiscal year ended </w:t>
      </w:r>
      <w:bookmarkStart w:id="6" w:name="led20643F2019911569951166549"/>
      <w:bookmarkEnd w:id="6"/>
      <w:r>
        <w:rPr>
          <w:rFonts w:ascii="Times New Roman" w:hAnsi="Times New Roman"/>
          <w:sz w:val="20"/>
        </w:rPr>
        <w:t xml:space="preserve">June 30,  2026. </w:t>
      </w:r>
    </w:p>
    <w:p>
      <w:pPr>
        <w:pStyle w:val="TextBody"/>
        <w:bidi w:val="0"/>
        <w:spacing w:before="0" w:after="0"/>
        <w:ind w:left="864" w:right="864" w:hanging="0"/>
        <w:jc w:val="both"/>
        <w:rPr>
          <w:rFonts w:cs="Times New Roman"/>
          <w:szCs w:val="20"/>
        </w:rPr>
      </w:pPr>
      <w:r>
        <w:rPr>
          <w:rFonts w:cs="Times New Roman"/>
          <w:szCs w:val="20"/>
        </w:rPr>
        <w:t xml:space="preserve">﻿ </w:t>
      </w:r>
    </w:p>
    <w:p>
      <w:pPr>
        <w:pStyle w:val="TextBody"/>
        <w:bidi w:val="0"/>
        <w:spacing w:before="0" w:after="0"/>
        <w:ind w:left="864" w:right="864" w:hanging="0"/>
        <w:jc w:val="both"/>
        <w:rPr>
          <w:rFonts w:ascii="Times New Roman" w:hAnsi="Times New Roman"/>
          <w:sz w:val="20"/>
        </w:rPr>
      </w:pPr>
      <w:r>
        <w:rPr>
          <w:rFonts w:ascii="Times New Roman" w:hAnsi="Times New Roman"/>
          <w:sz w:val="20"/>
        </w:rPr>
        <w:t xml:space="preserve">For the three months ended June 30, 2026, net sales of $3,263,853 reflected an increase of $179,643, or 5.8%, over net sales of $3,084,210 for the same period in fiscal year 2025.  The net income for the fourth quarter of fiscal year 2026 was $476,801 compared to a net loss of $232,696 for the fourth quarter of the prior fiscal year, an increase of $709,497. Basic and diluted net income per common share for the quarter ended June 30, 2026 were $0.05, compared to basic and diluted net loss of $0.02 for the same fiscal quarter in the prior year. </w:t>
      </w:r>
    </w:p>
    <w:p>
      <w:pPr>
        <w:pStyle w:val="TextBody"/>
        <w:bidi w:val="0"/>
        <w:spacing w:before="0" w:after="0"/>
        <w:ind w:left="864" w:right="864" w:hanging="0"/>
        <w:jc w:val="both"/>
        <w:rPr/>
      </w:pPr>
      <w:r>
        <w:rPr/>
        <w:t xml:space="preserve">  </w:t>
      </w:r>
    </w:p>
    <w:p>
      <w:pPr>
        <w:pStyle w:val="TextBody"/>
        <w:bidi w:val="0"/>
        <w:spacing w:before="0" w:after="0"/>
        <w:ind w:left="900" w:right="720" w:hanging="0"/>
        <w:jc w:val="left"/>
        <w:rPr/>
      </w:pPr>
      <w:r>
        <w:rPr/>
        <w:t>“</w:t>
      </w:r>
      <w:r>
        <w:rPr>
          <w:rFonts w:ascii="Times New Roman" w:hAnsi="Times New Roman"/>
          <w:sz w:val="20"/>
        </w:rPr>
        <w:t xml:space="preserve">Direct-to-consumer (DTC) sales were the biggest contributor to growth for the three months ended June 30, 2026, with an increase of 36.2% over the prior year’s same fiscal quarter, led by strong performances in the Porta Pro wired and wireless headphones family. Koss.com sales showed a remarkable 45.6% increase over the same period in the prior fiscal year,” Michael J. Koss, Chairman and CEO, said in a statement today. “Sales to certain domestic distributors remained strong in the fourth quarter, increasing approximately 12% year over year, however, our European markets continue to show year over year declines as those distributors slow down stock replenishments and maintain lower stock levels.” </w:t>
      </w:r>
    </w:p>
    <w:p>
      <w:pPr>
        <w:pStyle w:val="TextBody"/>
        <w:bidi w:val="0"/>
        <w:spacing w:before="0" w:after="0"/>
        <w:ind w:left="900" w:right="720" w:hanging="0"/>
        <w:jc w:val="left"/>
        <w:rPr>
          <w:rFonts w:cs="Times New Roman"/>
          <w:szCs w:val="20"/>
        </w:rPr>
      </w:pPr>
      <w:r>
        <w:rPr>
          <w:rFonts w:cs="Times New Roman"/>
          <w:szCs w:val="20"/>
          <w:shd w:fill="FFFF00" w:val="clear"/>
        </w:rPr>
        <w:t>﻿</w:t>
      </w:r>
      <w:r>
        <w:rPr>
          <w:rFonts w:cs="Times New Roman"/>
          <w:szCs w:val="20"/>
        </w:rPr>
        <w:t xml:space="preserve"> </w:t>
      </w:r>
    </w:p>
    <w:p>
      <w:pPr>
        <w:pStyle w:val="TextBody"/>
        <w:bidi w:val="0"/>
        <w:spacing w:before="0" w:after="0"/>
        <w:ind w:left="900" w:right="720" w:hanging="0"/>
        <w:jc w:val="left"/>
        <w:rPr>
          <w:rFonts w:ascii="Times New Roman" w:hAnsi="Times New Roman"/>
          <w:sz w:val="20"/>
        </w:rPr>
      </w:pPr>
      <w:r>
        <w:rPr>
          <w:rFonts w:ascii="Times New Roman" w:hAnsi="Times New Roman"/>
          <w:sz w:val="20"/>
        </w:rPr>
        <w:t xml:space="preserve">For the year ended June 30, 2026, sales of $13,020,773 were up $396,603, or 3.1%, over prior year sales of $12,624,170, with the primary driver being a custom headphones sale to a customer in the Education market segment. DTC sales and sales to several domestic distributors also showed substantial increases for the full fiscal year compared to the prior year. Net loss for the full fiscal year 2026 of $391,464 declined $483,367 compared to a net loss of $874,831 for fiscal year 2025. Both basic and diluted net loss per common share for the years ended June 30, 2026 and 2025 were $0.04 and $0.09, respectively. </w:t>
      </w:r>
    </w:p>
    <w:p>
      <w:pPr>
        <w:pStyle w:val="TextBody"/>
        <w:bidi w:val="0"/>
        <w:spacing w:before="0" w:after="0"/>
        <w:ind w:left="900" w:right="720" w:hanging="0"/>
        <w:jc w:val="left"/>
        <w:rPr>
          <w:rFonts w:cs="Times New Roman"/>
          <w:szCs w:val="20"/>
        </w:rPr>
      </w:pPr>
      <w:r>
        <w:rPr>
          <w:rFonts w:cs="Times New Roman"/>
          <w:szCs w:val="20"/>
          <w:shd w:fill="FFFF00" w:val="clear"/>
        </w:rPr>
        <w:t>﻿</w:t>
      </w:r>
      <w:r>
        <w:rPr>
          <w:rFonts w:cs="Times New Roman"/>
          <w:szCs w:val="20"/>
        </w:rPr>
        <w:t xml:space="preserve"> </w:t>
      </w:r>
    </w:p>
    <w:p>
      <w:pPr>
        <w:pStyle w:val="TextBody"/>
        <w:bidi w:val="0"/>
        <w:spacing w:before="0" w:after="0"/>
        <w:ind w:left="900" w:right="720" w:hanging="0"/>
        <w:jc w:val="left"/>
        <w:rPr/>
      </w:pPr>
      <w:r>
        <w:rPr/>
        <w:t>“</w:t>
      </w:r>
      <w:r>
        <w:rPr>
          <w:rFonts w:ascii="Times New Roman" w:hAnsi="Times New Roman"/>
          <w:sz w:val="20"/>
        </w:rPr>
        <w:t xml:space="preserve">Full fiscal year sales growth was primarily driven by the custom headphones sale to the Education market, along with strong DTC sales supported by online marketing and social media campaigns, and continued strength in a segment of our domestic distributor business as inventory levels were replenished to adequate levels,” Koss continued.  “Tariff refunds of $1.0 million received in the fourth quarter of fiscal year 2026 for previously paid import duties imposed on products from China helped to offset the adverse impact of tariffs paid during the year, resulting in gross margin improvement from 37.8% for the fiscal year ended June 30, 2025 to 41.9% for the 2026 fiscal year. The favorable customer mix, which included higher volumes of higher margin DTC and domestic distributor sales, also helped fuel the increase in margins. The Company’s previously announced ‘diversification by acquisition’ strategy is intended to reshape its profile over the next five years by creating additional predictable, recurring revenue streams for the company.” </w:t>
      </w:r>
    </w:p>
    <w:p>
      <w:pPr>
        <w:pStyle w:val="TextBody"/>
        <w:bidi w:val="0"/>
        <w:spacing w:before="0" w:after="0"/>
        <w:ind w:left="720" w:right="720" w:hanging="0"/>
        <w:jc w:val="left"/>
        <w:rPr>
          <w:rFonts w:cs="Times New Roman"/>
          <w:szCs w:val="20"/>
        </w:rPr>
      </w:pPr>
      <w:r>
        <w:rPr>
          <w:rFonts w:cs="Times New Roman"/>
          <w:szCs w:val="20"/>
          <w:shd w:fill="FFFF00" w:val="clear"/>
        </w:rPr>
        <w:t>﻿</w:t>
      </w:r>
      <w:r>
        <w:rPr>
          <w:rFonts w:cs="Times New Roman"/>
          <w:szCs w:val="20"/>
        </w:rPr>
        <w:t xml:space="preserve"> </w:t>
      </w:r>
    </w:p>
    <w:p>
      <w:pPr>
        <w:pStyle w:val="TextBody"/>
        <w:bidi w:val="0"/>
        <w:spacing w:before="0" w:after="0"/>
        <w:ind w:left="900" w:right="720" w:hanging="0"/>
        <w:jc w:val="left"/>
        <w:rPr>
          <w:rFonts w:ascii="Times New Roman" w:hAnsi="Times New Roman"/>
          <w:sz w:val="20"/>
        </w:rPr>
      </w:pPr>
      <w:r>
        <w:rPr>
          <w:rFonts w:ascii="Times New Roman" w:hAnsi="Times New Roman"/>
          <w:i/>
          <w:sz w:val="20"/>
        </w:rPr>
        <w:t>About Koss Corporation</w:t>
      </w:r>
      <w:r>
        <w:rPr>
          <w:rFonts w:ascii="Times New Roman" w:hAnsi="Times New Roman"/>
          <w:sz w:val="20"/>
        </w:rPr>
        <w:t xml:space="preserve"> </w:t>
      </w:r>
    </w:p>
    <w:p>
      <w:pPr>
        <w:pStyle w:val="TextBody"/>
        <w:bidi w:val="0"/>
        <w:spacing w:before="0" w:after="0"/>
        <w:ind w:left="900" w:right="720" w:hanging="0"/>
        <w:jc w:val="left"/>
        <w:rPr>
          <w:rFonts w:cs="Times New Roman"/>
          <w:szCs w:val="20"/>
        </w:rPr>
      </w:pPr>
      <w:r>
        <w:rPr>
          <w:rFonts w:cs="Times New Roman"/>
          <w:szCs w:val="20"/>
        </w:rPr>
        <w:t xml:space="preserve">﻿ </w:t>
      </w:r>
    </w:p>
    <w:p>
      <w:pPr>
        <w:pStyle w:val="TextBody"/>
        <w:bidi w:val="0"/>
        <w:spacing w:before="0" w:after="0"/>
        <w:ind w:left="864" w:right="864" w:hanging="0"/>
        <w:jc w:val="left"/>
        <w:rPr/>
      </w:pPr>
      <w:r>
        <w:rPr/>
        <w:t> </w:t>
      </w:r>
      <w:r>
        <w:rPr>
          <w:rFonts w:ascii="Times New Roman" w:hAnsi="Times New Roman"/>
          <w:sz w:val="20"/>
        </w:rPr>
        <w:t xml:space="preserve">Koss Corporation markets a complete line of high-fidelity headphones, wireless Bluetooth® speakers, computer headsets, telecommunications headsets, active noise canceling headphones, and wireless headphones. </w:t>
      </w:r>
    </w:p>
    <w:p>
      <w:pPr>
        <w:pStyle w:val="TextBody"/>
        <w:bidi w:val="0"/>
        <w:spacing w:before="0" w:after="0"/>
        <w:ind w:left="720" w:right="720" w:hanging="0"/>
        <w:jc w:val="center"/>
        <w:rPr>
          <w:rFonts w:ascii="Times New Roman" w:hAnsi="Times New Roman"/>
          <w:sz w:val="24"/>
        </w:rPr>
      </w:pPr>
      <w:r>
        <w:rPr>
          <w:rFonts w:ascii="Times New Roman" w:hAnsi="Times New Roman"/>
          <w:sz w:val="24"/>
        </w:rPr>
        <w:t xml:space="preserve">1 </w:t>
      </w:r>
    </w:p>
    <w:p>
      <w:pPr>
        <w:pStyle w:val="TextBody"/>
        <w:bidi w:val="0"/>
        <w:spacing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864" w:right="864" w:hanging="0"/>
        <w:jc w:val="left"/>
        <w:rPr>
          <w:rFonts w:cs="Times New Roman"/>
          <w:szCs w:val="20"/>
        </w:rPr>
      </w:pPr>
      <w:r>
        <w:rPr>
          <w:rFonts w:cs="Times New Roman"/>
          <w:szCs w:val="20"/>
        </w:rPr>
        <w:t xml:space="preserve">﻿ </w:t>
      </w:r>
    </w:p>
    <w:p>
      <w:pPr>
        <w:pStyle w:val="TextBody"/>
        <w:bidi w:val="0"/>
        <w:spacing w:before="0" w:after="0"/>
        <w:ind w:left="864" w:right="864" w:hanging="0"/>
        <w:jc w:val="left"/>
        <w:rPr>
          <w:rFonts w:ascii="Times New Roman" w:hAnsi="Times New Roman"/>
          <w:sz w:val="20"/>
        </w:rPr>
      </w:pPr>
      <w:r>
        <w:rPr>
          <w:rFonts w:ascii="Times New Roman" w:hAnsi="Times New Roman"/>
          <w:i/>
          <w:sz w:val="20"/>
        </w:rPr>
        <w:t>Forward-Looking Statements</w:t>
      </w:r>
      <w:r>
        <w:rPr>
          <w:rFonts w:ascii="Times New Roman" w:hAnsi="Times New Roman"/>
          <w:sz w:val="20"/>
        </w:rPr>
        <w:t xml:space="preserve"> </w:t>
      </w:r>
    </w:p>
    <w:p>
      <w:pPr>
        <w:pStyle w:val="TextBody"/>
        <w:bidi w:val="0"/>
        <w:spacing w:before="0" w:after="0"/>
        <w:ind w:left="864" w:right="864" w:hanging="0"/>
        <w:jc w:val="both"/>
        <w:rPr>
          <w:rFonts w:cs="Times New Roman"/>
          <w:szCs w:val="20"/>
        </w:rPr>
      </w:pPr>
      <w:r>
        <w:rPr>
          <w:rFonts w:cs="Times New Roman"/>
          <w:szCs w:val="20"/>
        </w:rPr>
        <w:t xml:space="preserve">﻿ </w:t>
      </w:r>
    </w:p>
    <w:p>
      <w:pPr>
        <w:pStyle w:val="TextBody"/>
        <w:bidi w:val="0"/>
        <w:spacing w:before="0" w:after="0"/>
        <w:ind w:left="864" w:right="864" w:hanging="0"/>
        <w:jc w:val="both"/>
        <w:rPr>
          <w:rFonts w:ascii="Times New Roman" w:hAnsi="Times New Roman"/>
          <w:sz w:val="20"/>
        </w:rPr>
      </w:pPr>
      <w:r>
        <w:rPr>
          <w:rFonts w:ascii="Times New Roman" w:hAnsi="Times New Roman"/>
          <w:sz w:val="20"/>
        </w:rPr>
        <w:t xml:space="preserve">This press release contains forward-looking statements. These statements relate to future events or our future financial performance. In some cases, you can identify forward-looking statements by terminology such as "anticipates," "believes," "estimates," "expects," "intends," "plans," "may," "will," "should," “could,” “would,” “shall,” "forecasts," "predicts," "potential," "continue," “seeks,” “goal,” “projects” or the negative of such terms and other comparable terminology. These statements are based on currently available operating, financial and competitive information and are subject to various risks and uncertainties. Actual events or results may differ materially. In evaluating forward-looking statements, you should specifically consider various factors that may cause actual results to vary from those contained in the forward-looking statements, such as continued future fluctuations in economic conditions; the Company’s ability to successfully develop new products and assess potential market opportunities; the receptivity of consumers to new consumer electronics technologies; the Company’s ability to successfully and profitably market its products; the rate and consumer acceptance of new product introductions; the amount and nature of competition for the Company’s products; pricing; the number and nature of customers and their product orders; the Company’s ability to meet demand for products; production by third party vendors; foreign manufacturing, sourcing, and sales (including foreign government regulation, trade and importation concerns); uncertainties associated with the pandemics and other health crises or natural disasters, including their possible effects on the Company’s operations and its supply chain; changes in trade policies and tariffs, import and export restrictions; the impact of the ongoing conflict in Eastern Europe and the instability in the Middle East on the Company’s operations; the effects of any judicial, executive or legislative action affecting the Company or the audio/video industry; borrowing costs; changes in tax rates; volatility in the price and trading volume of our common stock; the outcome of any litigation, government investigations, enforcement actions or other legal proceedings; any impacts of future acquisitions or other strategic transactions; the possibility that costs or difficulties related to the integration of acquired businesses’ operations will be greater than expected and the possibility that integration efforts will disrupt our business and strain management time and resources; the Company’s ability to retain and hire key personnel and other risk factors described in the Risk Factors and Management’s Discussion and Analysis of Financial Condition and Results of Operations sections in the Company’s Annual Report on Form 10-K for the fiscal year ended June 30, 2026. 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press release and the Company undertakes no obligation to publicly update such forward-looking statements to reflect subsequent events or circumstances or new information. In addition, such uncertainties and other operational matters are discussed further in the Company's quarterly and annual filings with the Securities and Exchange Commission. </w:t>
      </w:r>
    </w:p>
    <w:p>
      <w:pPr>
        <w:pStyle w:val="TextBody"/>
        <w:bidi w:val="0"/>
        <w:spacing w:before="0" w:after="0"/>
        <w:ind w:left="720" w:right="720" w:hanging="0"/>
        <w:jc w:val="center"/>
        <w:rPr>
          <w:rFonts w:ascii="Times New Roman" w:hAnsi="Times New Roman"/>
          <w:sz w:val="24"/>
        </w:rPr>
      </w:pPr>
      <w:r>
        <w:rPr>
          <w:rFonts w:ascii="Times New Roman" w:hAnsi="Times New Roman"/>
          <w:sz w:val="24"/>
        </w:rPr>
        <w:t xml:space="preserve">2 </w:t>
      </w:r>
    </w:p>
    <w:p>
      <w:pPr>
        <w:pStyle w:val="TextBody"/>
        <w:bidi w:val="0"/>
        <w:spacing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864" w:right="864" w:hanging="0"/>
        <w:jc w:val="both"/>
        <w:rPr/>
      </w:pPr>
      <w:r>
        <w:rPr/>
        <w:t xml:space="preserve">  </w:t>
      </w:r>
    </w:p>
    <w:p>
      <w:pPr>
        <w:pStyle w:val="TextBody"/>
        <w:bidi w:val="0"/>
        <w:spacing w:before="0" w:after="0"/>
        <w:ind w:left="864" w:right="864" w:hanging="0"/>
        <w:jc w:val="center"/>
        <w:rPr>
          <w:rFonts w:ascii="Times New Roman" w:hAnsi="Times New Roman"/>
          <w:sz w:val="20"/>
        </w:rPr>
      </w:pPr>
      <w:r>
        <w:rPr>
          <w:rFonts w:ascii="Times New Roman" w:hAnsi="Times New Roman"/>
          <w:b/>
          <w:sz w:val="20"/>
        </w:rPr>
        <w:t>KOSS CORPORATION</w:t>
      </w:r>
      <w:r>
        <w:rPr>
          <w:rFonts w:ascii="Times New Roman" w:hAnsi="Times New Roman"/>
          <w:sz w:val="20"/>
        </w:rPr>
        <w:t xml:space="preserve"> </w:t>
      </w:r>
    </w:p>
    <w:p>
      <w:pPr>
        <w:pStyle w:val="TextBody"/>
        <w:bidi w:val="0"/>
        <w:spacing w:before="0" w:after="0"/>
        <w:ind w:left="864" w:right="864" w:hanging="0"/>
        <w:jc w:val="center"/>
        <w:rPr>
          <w:rFonts w:ascii="Times New Roman" w:hAnsi="Times New Roman"/>
          <w:sz w:val="20"/>
        </w:rPr>
      </w:pPr>
      <w:r>
        <w:rPr>
          <w:rFonts w:ascii="Times New Roman" w:hAnsi="Times New Roman"/>
          <w:b/>
          <w:sz w:val="20"/>
        </w:rPr>
        <w:t>CONDENSED CONSOLIDATED STATEMENTS OF OPERATIONS</w:t>
      </w:r>
      <w:r>
        <w:rPr>
          <w:rFonts w:ascii="Times New Roman" w:hAnsi="Times New Roman"/>
          <w:sz w:val="20"/>
        </w:rPr>
        <w:t xml:space="preserve"> </w:t>
      </w:r>
    </w:p>
    <w:p>
      <w:pPr>
        <w:pStyle w:val="TextBody"/>
        <w:bidi w:val="0"/>
        <w:spacing w:before="0" w:after="0"/>
        <w:ind w:left="864" w:right="864" w:hanging="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bidi w:val="0"/>
        <w:spacing w:before="0" w:after="0"/>
        <w:ind w:left="864" w:right="864" w:hanging="0"/>
        <w:jc w:val="center"/>
        <w:rPr/>
      </w:pPr>
      <w:r>
        <w:rPr/>
        <w:t xml:space="preserve">  </w:t>
      </w:r>
    </w:p>
    <w:p>
      <w:pPr>
        <w:pStyle w:val="TextBody"/>
        <w:bidi w:val="0"/>
        <w:spacing w:before="0" w:after="0"/>
        <w:ind w:left="864" w:right="864" w:hanging="0"/>
        <w:jc w:val="left"/>
        <w:rPr>
          <w:rFonts w:cs="Times New Roman"/>
          <w:szCs w:val="20"/>
        </w:rPr>
      </w:pPr>
      <w:r>
        <w:rPr>
          <w:rFonts w:cs="Times New Roman"/>
          <w:szCs w:val="20"/>
        </w:rPr>
        <w:t xml:space="preserve">﻿ </w:t>
      </w:r>
    </w:p>
    <w:tbl>
      <w:tblPr>
        <w:tblW w:w="8295" w:type="dxa"/>
        <w:jc w:val="left"/>
        <w:tblInd w:w="720" w:type="dxa"/>
        <w:tblLayout w:type="fixed"/>
        <w:tblCellMar>
          <w:top w:w="0" w:type="dxa"/>
          <w:left w:w="0" w:type="dxa"/>
          <w:bottom w:w="0" w:type="dxa"/>
          <w:right w:w="0" w:type="dxa"/>
        </w:tblCellMar>
      </w:tblPr>
      <w:tblGrid>
        <w:gridCol w:w="3650"/>
        <w:gridCol w:w="125"/>
        <w:gridCol w:w="935"/>
        <w:gridCol w:w="60"/>
        <w:gridCol w:w="125"/>
        <w:gridCol w:w="935"/>
        <w:gridCol w:w="60"/>
        <w:gridCol w:w="125"/>
        <w:gridCol w:w="1040"/>
        <w:gridCol w:w="60"/>
        <w:gridCol w:w="125"/>
        <w:gridCol w:w="1055"/>
      </w:tblGrid>
      <w:tr>
        <w:trPr/>
        <w:tc>
          <w:tcPr>
            <w:tcW w:w="3650"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55" w:type="dxa"/>
            <w:tcBorders/>
            <w:vAlign w:val="bottom"/>
          </w:tcPr>
          <w:p>
            <w:pPr>
              <w:pStyle w:val="TableContents"/>
              <w:bidi w:val="0"/>
              <w:spacing w:before="0" w:after="0"/>
              <w:ind w:left="0" w:right="0" w:hanging="0"/>
              <w:jc w:val="left"/>
              <w:rPr/>
            </w:pPr>
            <w:r>
              <w:rPr/>
              <w:t> </w:t>
            </w:r>
          </w:p>
        </w:tc>
      </w:tr>
      <w:tr>
        <w:trPr/>
        <w:tc>
          <w:tcPr>
            <w:tcW w:w="3650" w:type="dxa"/>
            <w:tcBorders/>
            <w:vAlign w:val="center"/>
          </w:tcPr>
          <w:p>
            <w:pPr>
              <w:pStyle w:val="TableContents"/>
              <w:bidi w:val="0"/>
              <w:spacing w:before="0" w:after="0"/>
              <w:ind w:left="0" w:right="0" w:hanging="0"/>
              <w:jc w:val="left"/>
              <w:rPr>
                <w:rFonts w:cs="Times New Roman"/>
                <w:szCs w:val="20"/>
              </w:rPr>
            </w:pPr>
            <w:r>
              <w:rPr>
                <w:rFonts w:cs="Times New Roman"/>
                <w:szCs w:val="20"/>
              </w:rPr>
              <w:t>﻿</w:t>
            </w:r>
          </w:p>
        </w:tc>
        <w:tc>
          <w:tcPr>
            <w:tcW w:w="2180" w:type="dxa"/>
            <w:gridSpan w:val="5"/>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60" w:type="dxa"/>
            <w:tcBorders/>
            <w:vAlign w:val="center"/>
          </w:tcPr>
          <w:p>
            <w:pPr>
              <w:pStyle w:val="TableContents"/>
              <w:bidi w:val="0"/>
              <w:spacing w:before="0" w:after="0"/>
              <w:ind w:left="0" w:right="0" w:hanging="0"/>
              <w:jc w:val="center"/>
              <w:rPr/>
            </w:pPr>
            <w:r>
              <w:rPr/>
              <w:t> </w:t>
            </w:r>
          </w:p>
        </w:tc>
        <w:tc>
          <w:tcPr>
            <w:tcW w:w="2405" w:type="dxa"/>
            <w:gridSpan w:val="5"/>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Twelve Months Ended</w:t>
            </w:r>
          </w:p>
        </w:tc>
      </w:tr>
      <w:tr>
        <w:trPr/>
        <w:tc>
          <w:tcPr>
            <w:tcW w:w="3650" w:type="dxa"/>
            <w:tcBorders/>
            <w:vAlign w:val="center"/>
          </w:tcPr>
          <w:p>
            <w:pPr>
              <w:pStyle w:val="TableContents"/>
              <w:bidi w:val="0"/>
              <w:spacing w:before="0" w:after="0"/>
              <w:ind w:left="0" w:right="0" w:hanging="0"/>
              <w:jc w:val="left"/>
              <w:rPr>
                <w:rFonts w:cs="Times New Roman"/>
                <w:szCs w:val="20"/>
              </w:rPr>
            </w:pPr>
            <w:r>
              <w:rPr>
                <w:rFonts w:cs="Times New Roman"/>
                <w:szCs w:val="20"/>
              </w:rPr>
              <w:t>﻿</w:t>
            </w:r>
          </w:p>
        </w:tc>
        <w:tc>
          <w:tcPr>
            <w:tcW w:w="2180" w:type="dxa"/>
            <w:gridSpan w:val="5"/>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w:t>
            </w:r>
          </w:p>
        </w:tc>
        <w:tc>
          <w:tcPr>
            <w:tcW w:w="60" w:type="dxa"/>
            <w:tcBorders/>
            <w:vAlign w:val="center"/>
          </w:tcPr>
          <w:p>
            <w:pPr>
              <w:pStyle w:val="TableContents"/>
              <w:bidi w:val="0"/>
              <w:spacing w:before="0" w:after="0"/>
              <w:ind w:left="0" w:right="0" w:hanging="0"/>
              <w:jc w:val="center"/>
              <w:rPr/>
            </w:pPr>
            <w:r>
              <w:rPr/>
              <w:t> </w:t>
            </w:r>
          </w:p>
        </w:tc>
        <w:tc>
          <w:tcPr>
            <w:tcW w:w="2405" w:type="dxa"/>
            <w:gridSpan w:val="5"/>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w:t>
            </w:r>
          </w:p>
        </w:tc>
      </w:tr>
      <w:tr>
        <w:trPr/>
        <w:tc>
          <w:tcPr>
            <w:tcW w:w="3650" w:type="dxa"/>
            <w:tcBorders/>
            <w:vAlign w:val="center"/>
          </w:tcPr>
          <w:p>
            <w:pPr>
              <w:pStyle w:val="TableContents"/>
              <w:bidi w:val="0"/>
              <w:spacing w:before="0" w:after="0"/>
              <w:ind w:left="0" w:right="0" w:hanging="0"/>
              <w:jc w:val="left"/>
              <w:rPr>
                <w:rFonts w:cs="Times New Roman"/>
                <w:szCs w:val="20"/>
              </w:rPr>
            </w:pPr>
            <w:r>
              <w:rPr>
                <w:rFonts w:cs="Times New Roman"/>
                <w:szCs w:val="20"/>
              </w:rPr>
              <w:t>﻿</w:t>
            </w:r>
          </w:p>
        </w:tc>
        <w:tc>
          <w:tcPr>
            <w:tcW w:w="1060" w:type="dxa"/>
            <w:gridSpan w:val="2"/>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60" w:type="dxa"/>
            <w:tcBorders>
              <w:top w:val="single" w:sz="8" w:space="0" w:color="000000"/>
            </w:tcBorders>
            <w:tcMar>
              <w:top w:w="28" w:type="dxa"/>
            </w:tcMar>
            <w:vAlign w:val="center"/>
          </w:tcPr>
          <w:p>
            <w:pPr>
              <w:pStyle w:val="TableContents"/>
              <w:bidi w:val="0"/>
              <w:spacing w:before="0" w:after="0"/>
              <w:ind w:left="0" w:right="0" w:hanging="0"/>
              <w:jc w:val="left"/>
              <w:rPr/>
            </w:pPr>
            <w:r>
              <w:rPr/>
              <w:t> </w:t>
            </w:r>
          </w:p>
        </w:tc>
        <w:tc>
          <w:tcPr>
            <w:tcW w:w="1060" w:type="dxa"/>
            <w:gridSpan w:val="2"/>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60" w:type="dxa"/>
            <w:tcBorders/>
            <w:vAlign w:val="center"/>
          </w:tcPr>
          <w:p>
            <w:pPr>
              <w:pStyle w:val="TableContents"/>
              <w:bidi w:val="0"/>
              <w:spacing w:before="0" w:after="0"/>
              <w:ind w:left="0" w:right="0" w:hanging="0"/>
              <w:jc w:val="center"/>
              <w:rPr/>
            </w:pPr>
            <w:r>
              <w:rPr/>
              <w:t> </w:t>
            </w:r>
          </w:p>
        </w:tc>
        <w:tc>
          <w:tcPr>
            <w:tcW w:w="1165" w:type="dxa"/>
            <w:gridSpan w:val="2"/>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60" w:type="dxa"/>
            <w:tcBorders>
              <w:top w:val="single" w:sz="8" w:space="0" w:color="000000"/>
            </w:tcBorders>
            <w:tcMar>
              <w:top w:w="28" w:type="dxa"/>
            </w:tcMar>
            <w:vAlign w:val="center"/>
          </w:tcPr>
          <w:p>
            <w:pPr>
              <w:pStyle w:val="TableContents"/>
              <w:bidi w:val="0"/>
              <w:spacing w:before="0" w:after="0"/>
              <w:ind w:left="0" w:right="0" w:hanging="0"/>
              <w:jc w:val="center"/>
              <w:rPr/>
            </w:pPr>
            <w:r>
              <w:rPr/>
              <w:t> </w:t>
            </w:r>
          </w:p>
        </w:tc>
        <w:tc>
          <w:tcPr>
            <w:tcW w:w="1180" w:type="dxa"/>
            <w:gridSpan w:val="2"/>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p>
        </w:tc>
      </w:tr>
      <w:tr>
        <w:trPr/>
        <w:tc>
          <w:tcPr>
            <w:tcW w:w="365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sales</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3,263,853 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3,084,210 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13,020,773 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12,624,170  </w:t>
            </w:r>
          </w:p>
        </w:tc>
      </w:tr>
      <w:tr>
        <w:trPr/>
        <w:tc>
          <w:tcPr>
            <w:tcW w:w="3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125"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1,273,701 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1,973,166 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7,568,362 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7,850,572  </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Gross profit</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93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1,990,152 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1,111,044 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5,452,411 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4,773,598  </w:t>
            </w:r>
          </w:p>
        </w:tc>
      </w:tr>
      <w:tr>
        <w:trPr/>
        <w:tc>
          <w:tcPr>
            <w:tcW w:w="3650" w:type="dxa"/>
            <w:tcBorders/>
            <w:vAlign w:val="center"/>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single" w:sz="8" w:space="0" w:color="000000"/>
            </w:tcBorders>
            <w:tcMar>
              <w:top w:w="28" w:type="dxa"/>
            </w:tcMar>
            <w:vAlign w:val="center"/>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center"/>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Selling, general and administrative expenses</w:t>
            </w:r>
          </w:p>
        </w:tc>
        <w:tc>
          <w:tcPr>
            <w:tcW w:w="125" w:type="dxa"/>
            <w:tcBorders>
              <w:bottom w:val="single" w:sz="8"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1,722,854 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1,550,243 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6,964,862 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6,510,721  </w:t>
            </w:r>
          </w:p>
        </w:tc>
      </w:tr>
      <w:tr>
        <w:trPr/>
        <w:tc>
          <w:tcPr>
            <w:tcW w:w="3650" w:type="dxa"/>
            <w:tcBorders/>
            <w:vAlign w:val="center"/>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single" w:sz="8" w:space="0" w:color="000000"/>
            </w:tcBorders>
            <w:tcMar>
              <w:top w:w="28" w:type="dxa"/>
            </w:tcMar>
            <w:vAlign w:val="center"/>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Income (loss) from operations</w:t>
            </w:r>
          </w:p>
        </w:tc>
        <w:tc>
          <w:tcPr>
            <w:tcW w:w="125"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267,298 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(439,199)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(1,512,451)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5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(1,737,123) </w:t>
            </w:r>
          </w:p>
        </w:tc>
      </w:tr>
      <w:tr>
        <w:trPr/>
        <w:tc>
          <w:tcPr>
            <w:tcW w:w="3650" w:type="dxa"/>
            <w:tcBorders/>
            <w:vAlign w:val="center"/>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vAlign w:val="center"/>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55" w:type="dxa"/>
            <w:tcBorders/>
            <w:vAlign w:val="bottom"/>
          </w:tcPr>
          <w:p>
            <w:pPr>
              <w:pStyle w:val="TableContents"/>
              <w:bidi w:val="0"/>
              <w:spacing w:before="0" w:after="0"/>
              <w:ind w:left="0" w:right="0" w:hanging="0"/>
              <w:jc w:val="left"/>
              <w:rPr/>
            </w:pPr>
            <w:r>
              <w:rPr/>
              <w:t> </w:t>
            </w:r>
          </w:p>
        </w:tc>
      </w:tr>
      <w:tr>
        <w:trPr/>
        <w:tc>
          <w:tcPr>
            <w:tcW w:w="3650" w:type="dxa"/>
            <w:tcBorders/>
            <w:shd w:fill="CCEEFF" w:val="clear"/>
            <w:vAlign w:val="center"/>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Interest income</w:t>
            </w:r>
          </w:p>
        </w:tc>
        <w:tc>
          <w:tcPr>
            <w:tcW w:w="125"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213,508 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212,555 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883,995 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5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879,774  </w:t>
            </w:r>
          </w:p>
        </w:tc>
      </w:tr>
      <w:tr>
        <w:trPr/>
        <w:tc>
          <w:tcPr>
            <w:tcW w:w="3650" w:type="dxa"/>
            <w:tcBorders/>
            <w:vAlign w:val="center"/>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Other income</w:t>
            </w:r>
          </w:p>
        </w:tc>
        <w:tc>
          <w:tcPr>
            <w:tcW w:w="125" w:type="dxa"/>
            <w:tcBorders/>
            <w:vAlign w:val="center"/>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65" w:hanging="0"/>
              <w:jc w:val="right"/>
              <w:rPr/>
            </w:pPr>
            <w:r>
              <w:rPr/>
              <w:t> </w:t>
            </w:r>
            <w:r>
              <w:rPr>
                <w:rFonts w:ascii="Times New Roman" w:hAnsi="Times New Roman"/>
                <w:sz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65" w:hanging="0"/>
              <w:jc w:val="right"/>
              <w:rPr/>
            </w:pPr>
            <w:r>
              <w:rPr/>
              <w:t> </w:t>
            </w:r>
            <w:r>
              <w:rPr>
                <w:rFonts w:ascii="Times New Roman" w:hAnsi="Times New Roman"/>
                <w:sz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250,000 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55" w:type="dxa"/>
            <w:tcBorders/>
            <w:vAlign w:val="bottom"/>
          </w:tcPr>
          <w:p>
            <w:pPr>
              <w:pStyle w:val="TableContents"/>
              <w:bidi w:val="0"/>
              <w:spacing w:before="0" w:after="0"/>
              <w:ind w:left="0" w:right="65" w:hanging="0"/>
              <w:jc w:val="right"/>
              <w:rPr/>
            </w:pPr>
            <w:r>
              <w:rPr/>
              <w:t> </w:t>
            </w:r>
            <w:r>
              <w:rPr>
                <w:rFonts w:ascii="Times New Roman" w:hAnsi="Times New Roman"/>
                <w:sz w:val="20"/>
              </w:rPr>
              <w:t>-</w:t>
            </w:r>
          </w:p>
        </w:tc>
      </w:tr>
      <w:tr>
        <w:trPr/>
        <w:tc>
          <w:tcPr>
            <w:tcW w:w="3650" w:type="dxa"/>
            <w:tcBorders/>
            <w:shd w:fill="CCEEFF" w:val="clear"/>
            <w:vAlign w:val="center"/>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Interest expense</w:t>
            </w:r>
          </w:p>
        </w:tc>
        <w:tc>
          <w:tcPr>
            <w:tcW w:w="125" w:type="dxa"/>
            <w:tcBorders>
              <w:bottom w:val="single" w:sz="8"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(458)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shd w:fill="CCEEFF" w:val="clear"/>
            <w:tcMar>
              <w:bottom w:w="28" w:type="dxa"/>
            </w:tcMar>
            <w:vAlign w:val="bottom"/>
          </w:tcPr>
          <w:p>
            <w:pPr>
              <w:pStyle w:val="TableContents"/>
              <w:bidi w:val="0"/>
              <w:spacing w:before="0" w:after="0"/>
              <w:ind w:left="0" w:right="65" w:hanging="0"/>
              <w:jc w:val="right"/>
              <w:rPr/>
            </w:pPr>
            <w:r>
              <w:rPr/>
              <w:t> </w:t>
            </w:r>
            <w:r>
              <w:rPr>
                <w:rFonts w:ascii="Times New Roman" w:hAnsi="Times New Roman"/>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(2,116)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shd w:fill="CCEEFF" w:val="clear"/>
            <w:tcMar>
              <w:bottom w:w="28" w:type="dxa"/>
            </w:tcMar>
            <w:vAlign w:val="bottom"/>
          </w:tcPr>
          <w:p>
            <w:pPr>
              <w:pStyle w:val="TableContents"/>
              <w:bidi w:val="0"/>
              <w:spacing w:before="0" w:after="0"/>
              <w:ind w:left="0" w:right="65" w:hanging="0"/>
              <w:jc w:val="right"/>
              <w:rPr/>
            </w:pPr>
            <w:r>
              <w:rPr/>
              <w:t> </w:t>
            </w:r>
            <w:r>
              <w:rPr>
                <w:rFonts w:ascii="Times New Roman" w:hAnsi="Times New Roman"/>
                <w:sz w:val="20"/>
              </w:rPr>
              <w:t>-</w:t>
            </w:r>
          </w:p>
        </w:tc>
      </w:tr>
      <w:tr>
        <w:trPr/>
        <w:tc>
          <w:tcPr>
            <w:tcW w:w="3650" w:type="dxa"/>
            <w:tcBorders/>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Total other income, net</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pPr>
            <w:r>
              <w:rPr/>
              <w:t> </w:t>
            </w:r>
          </w:p>
        </w:tc>
        <w:tc>
          <w:tcPr>
            <w:tcW w:w="93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213,050 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212,555 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1,131,879 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879,774  </w:t>
            </w:r>
          </w:p>
        </w:tc>
      </w:tr>
      <w:tr>
        <w:trPr/>
        <w:tc>
          <w:tcPr>
            <w:tcW w:w="3650" w:type="dxa"/>
            <w:tcBorders/>
            <w:vAlign w:val="center"/>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single" w:sz="8" w:space="0" w:color="000000"/>
            </w:tcBorders>
            <w:tcMar>
              <w:top w:w="28" w:type="dxa"/>
            </w:tcMar>
            <w:vAlign w:val="center"/>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Income (loss) before income tax provision</w:t>
            </w:r>
          </w:p>
        </w:tc>
        <w:tc>
          <w:tcPr>
            <w:tcW w:w="125"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480,348 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(226,644)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(380,572)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5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(857,349) </w:t>
            </w:r>
          </w:p>
        </w:tc>
      </w:tr>
      <w:tr>
        <w:trPr/>
        <w:tc>
          <w:tcPr>
            <w:tcW w:w="3650" w:type="dxa"/>
            <w:tcBorders/>
            <w:vAlign w:val="center"/>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vAlign w:val="center"/>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55" w:type="dxa"/>
            <w:tcBorders/>
            <w:vAlign w:val="bottom"/>
          </w:tcPr>
          <w:p>
            <w:pPr>
              <w:pStyle w:val="TableContents"/>
              <w:bidi w:val="0"/>
              <w:spacing w:before="0" w:after="0"/>
              <w:ind w:left="0" w:right="0" w:hanging="0"/>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provision</w:t>
            </w:r>
          </w:p>
        </w:tc>
        <w:tc>
          <w:tcPr>
            <w:tcW w:w="125" w:type="dxa"/>
            <w:tcBorders>
              <w:bottom w:val="single" w:sz="8"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3,547 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6,052 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10,892 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17,482  </w:t>
            </w:r>
          </w:p>
        </w:tc>
      </w:tr>
      <w:tr>
        <w:trPr/>
        <w:tc>
          <w:tcPr>
            <w:tcW w:w="3650" w:type="dxa"/>
            <w:tcBorders/>
            <w:vAlign w:val="center"/>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single" w:sz="8" w:space="0" w:color="000000"/>
            </w:tcBorders>
            <w:tcMar>
              <w:top w:w="28" w:type="dxa"/>
            </w:tcMar>
            <w:vAlign w:val="center"/>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center"/>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Net income (loss)</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476,801 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(232,696)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0"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(391,464)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(874,831) </w:t>
            </w:r>
          </w:p>
        </w:tc>
      </w:tr>
      <w:tr>
        <w:trPr/>
        <w:tc>
          <w:tcPr>
            <w:tcW w:w="3650" w:type="dxa"/>
            <w:tcBorders/>
            <w:vAlign w:val="center"/>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double" w:sz="5" w:space="0" w:color="000000"/>
            </w:tcBorders>
            <w:tcMar>
              <w:top w:w="28" w:type="dxa"/>
            </w:tcMar>
            <w:vAlign w:val="center"/>
          </w:tcPr>
          <w:p>
            <w:pPr>
              <w:pStyle w:val="TableContents"/>
              <w:bidi w:val="0"/>
              <w:spacing w:before="0" w:after="0"/>
              <w:ind w:left="0" w:right="0" w:hanging="0"/>
              <w:jc w:val="left"/>
              <w:rPr/>
            </w:pPr>
            <w:r>
              <w:rPr/>
              <w:t> </w:t>
            </w:r>
          </w:p>
        </w:tc>
        <w:tc>
          <w:tcPr>
            <w:tcW w:w="93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105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(loss) per common share:</w:t>
            </w:r>
          </w:p>
        </w:tc>
        <w:tc>
          <w:tcPr>
            <w:tcW w:w="125"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55" w:type="dxa"/>
            <w:tcBorders/>
            <w:shd w:fill="CCEEFF" w:val="clear"/>
            <w:vAlign w:val="bottom"/>
          </w:tcPr>
          <w:p>
            <w:pPr>
              <w:pStyle w:val="TableContents"/>
              <w:bidi w:val="0"/>
              <w:spacing w:before="0" w:after="0"/>
              <w:ind w:left="0" w:right="0" w:hanging="0"/>
              <w:jc w:val="left"/>
              <w:rPr/>
            </w:pPr>
            <w:r>
              <w:rPr/>
              <w:t> </w:t>
            </w:r>
          </w:p>
        </w:tc>
      </w:tr>
      <w:tr>
        <w:trPr/>
        <w:tc>
          <w:tcPr>
            <w:tcW w:w="3650" w:type="dxa"/>
            <w:tcBorders/>
            <w:vAlign w:val="center"/>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Basic</w:t>
            </w:r>
          </w:p>
        </w:tc>
        <w:tc>
          <w:tcPr>
            <w:tcW w:w="125" w:type="dxa"/>
            <w:tcBorders>
              <w:bottom w:val="double" w:sz="5" w:space="0" w:color="000000"/>
            </w:tcBorders>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0.05 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double" w:sz="5" w:space="0" w:color="000000"/>
            </w:tcBorders>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(0.02)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double" w:sz="5" w:space="0" w:color="000000"/>
            </w:tcBorders>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0"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(0.04)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double" w:sz="5" w:space="0" w:color="000000"/>
            </w:tcBorders>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(0.09) </w:t>
            </w:r>
          </w:p>
        </w:tc>
      </w:tr>
      <w:tr>
        <w:trPr/>
        <w:tc>
          <w:tcPr>
            <w:tcW w:w="3650" w:type="dxa"/>
            <w:tcBorders/>
            <w:shd w:fill="CCEEFF" w:val="clear"/>
            <w:vAlign w:val="center"/>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Diluted</w:t>
            </w:r>
          </w:p>
        </w:tc>
        <w:tc>
          <w:tcPr>
            <w:tcW w:w="125"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0.05 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(0.02)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0"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(0.04)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(0.09) </w:t>
            </w:r>
          </w:p>
        </w:tc>
      </w:tr>
      <w:tr>
        <w:trPr/>
        <w:tc>
          <w:tcPr>
            <w:tcW w:w="3650" w:type="dxa"/>
            <w:tcBorders/>
            <w:vAlign w:val="center"/>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double" w:sz="5" w:space="0" w:color="000000"/>
            </w:tcBorders>
            <w:tcMar>
              <w:top w:w="28" w:type="dxa"/>
            </w:tcMar>
            <w:vAlign w:val="center"/>
          </w:tcPr>
          <w:p>
            <w:pPr>
              <w:pStyle w:val="TableContents"/>
              <w:bidi w:val="0"/>
              <w:spacing w:before="0" w:after="0"/>
              <w:ind w:left="0" w:right="0" w:hanging="0"/>
              <w:jc w:val="left"/>
              <w:rPr/>
            </w:pPr>
            <w:r>
              <w:rPr/>
              <w:t> </w:t>
            </w:r>
          </w:p>
        </w:tc>
        <w:tc>
          <w:tcPr>
            <w:tcW w:w="93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105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number of shares:</w:t>
            </w:r>
          </w:p>
        </w:tc>
        <w:tc>
          <w:tcPr>
            <w:tcW w:w="125"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55" w:type="dxa"/>
            <w:tcBorders/>
            <w:shd w:fill="CCEEFF" w:val="clear"/>
            <w:vAlign w:val="bottom"/>
          </w:tcPr>
          <w:p>
            <w:pPr>
              <w:pStyle w:val="TableContents"/>
              <w:bidi w:val="0"/>
              <w:spacing w:before="0" w:after="0"/>
              <w:ind w:left="0" w:right="0" w:hanging="0"/>
              <w:jc w:val="left"/>
              <w:rPr/>
            </w:pPr>
            <w:r>
              <w:rPr/>
              <w:t> </w:t>
            </w:r>
          </w:p>
        </w:tc>
      </w:tr>
      <w:tr>
        <w:trPr/>
        <w:tc>
          <w:tcPr>
            <w:tcW w:w="3650" w:type="dxa"/>
            <w:tcBorders/>
            <w:vAlign w:val="center"/>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Basic</w:t>
            </w:r>
          </w:p>
        </w:tc>
        <w:tc>
          <w:tcPr>
            <w:tcW w:w="125" w:type="dxa"/>
            <w:tcBorders>
              <w:bottom w:val="double" w:sz="5"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9,466,438 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double" w:sz="5" w:space="0" w:color="000000"/>
            </w:tcBorders>
            <w:tcMar>
              <w:bottom w:w="28" w:type="dxa"/>
            </w:tcMar>
            <w:vAlign w:val="bottom"/>
          </w:tcPr>
          <w:p>
            <w:pPr>
              <w:pStyle w:val="TableContents"/>
              <w:bidi w:val="0"/>
              <w:spacing w:before="0" w:after="0"/>
              <w:ind w:left="0" w:right="0" w:hanging="0"/>
              <w:jc w:val="left"/>
              <w:rPr/>
            </w:pPr>
            <w:r>
              <w:rPr/>
              <w:t> </w:t>
            </w:r>
          </w:p>
        </w:tc>
        <w:tc>
          <w:tcPr>
            <w:tcW w:w="935"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9,390,855 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double" w:sz="5"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9,462,904 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double" w:sz="5" w:space="0" w:color="000000"/>
            </w:tcBorders>
            <w:tcMar>
              <w:bottom w:w="28" w:type="dxa"/>
            </w:tcMar>
            <w:vAlign w:val="bottom"/>
          </w:tcPr>
          <w:p>
            <w:pPr>
              <w:pStyle w:val="TableContents"/>
              <w:bidi w:val="0"/>
              <w:spacing w:before="0" w:after="0"/>
              <w:ind w:left="0" w:right="0" w:hanging="0"/>
              <w:jc w:val="left"/>
              <w:rPr/>
            </w:pPr>
            <w:r>
              <w:rPr/>
              <w:t> </w:t>
            </w:r>
          </w:p>
        </w:tc>
        <w:tc>
          <w:tcPr>
            <w:tcW w:w="1055"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9,363,117  </w:t>
            </w:r>
          </w:p>
        </w:tc>
      </w:tr>
      <w:tr>
        <w:trPr/>
        <w:tc>
          <w:tcPr>
            <w:tcW w:w="3650" w:type="dxa"/>
            <w:tcBorders/>
            <w:shd w:fill="CCEEFF" w:val="clear"/>
            <w:vAlign w:val="center"/>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Diluted</w:t>
            </w:r>
          </w:p>
        </w:tc>
        <w:tc>
          <w:tcPr>
            <w:tcW w:w="125" w:type="dxa"/>
            <w:tcBorders>
              <w:top w:val="double" w:sz="5" w:space="0" w:color="000000"/>
              <w:bottom w:val="double" w:sz="5"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935"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9,466,438 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935"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9,390,855 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1040"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9,462,904 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1055" w:type="dxa"/>
            <w:tcBorders>
              <w:top w:val="double" w:sz="5"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9,363,117  </w:t>
            </w:r>
          </w:p>
        </w:tc>
      </w:tr>
    </w:tbl>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center"/>
        <w:rPr>
          <w:rFonts w:ascii="Times New Roman" w:hAnsi="Times New Roman"/>
          <w:sz w:val="24"/>
        </w:rPr>
      </w:pPr>
      <w:r>
        <w:rPr>
          <w:rFonts w:ascii="Times New Roman" w:hAnsi="Times New Roman"/>
          <w:sz w:val="24"/>
        </w:rPr>
        <w:t xml:space="preserve">3 </w:t>
      </w:r>
    </w:p>
    <w:p>
      <w:pPr>
        <w:pStyle w:val="TextBody"/>
        <w:bidi w:val="0"/>
        <w:spacing w:before="0" w:after="0"/>
        <w:ind w:left="720" w:right="720" w:hanging="0"/>
        <w:jc w:val="left"/>
        <w:rPr/>
      </w:pPr>
      <w:r>
        <w:rPr/>
        <w:t xml:space="preserve">  </w: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1769</Words>
  <Characters>9890</Characters>
  <CharactersWithSpaces>11878</CharactersWithSpaces>
  <Paragraphs>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