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ind w:left="720" w:right="720" w:hanging="0"/>
        <w:jc w:val="left"/>
        <w:rPr>
          <w:sz w:val="4"/>
          <w:szCs w:val="4"/>
        </w:rPr>
      </w:pPr>
      <w:r>
        <w:rPr>
          <w:sz w:val="4"/>
          <w:szCs w:val="4"/>
        </w:rPr>
      </w:r>
      <w:bookmarkStart w:id="0" w:name="koss-20260827xdefa14a.htm"/>
      <w:bookmarkStart w:id="1" w:name="kskoss20260827xdefa14a"/>
      <w:bookmarkStart w:id="2" w:name="koss-20260827xdefa14a.htm"/>
      <w:bookmarkStart w:id="3" w:name="kskoss20260827xdefa14a"/>
      <w:bookmarkEnd w:id="2"/>
      <w:bookmarkEnd w:id="3"/>
    </w:p>
    <w:tbl>
      <w:tblPr>
        <w:tblW w:w="8575" w:type="dxa"/>
        <w:jc w:val="left"/>
        <w:tblInd w:w="720" w:type="dxa"/>
        <w:tblLayout w:type="fixed"/>
        <w:tblCellMar>
          <w:top w:w="0" w:type="dxa"/>
          <w:left w:w="0" w:type="dxa"/>
          <w:bottom w:w="0" w:type="dxa"/>
          <w:right w:w="0" w:type="dxa"/>
        </w:tblCellMar>
      </w:tblPr>
      <w:tblGrid>
        <w:gridCol w:w="245"/>
        <w:gridCol w:w="8330"/>
      </w:tblGrid>
      <w:tr>
        <w:trPr/>
        <w:tc>
          <w:tcPr>
            <w:tcW w:w="245" w:type="dxa"/>
            <w:tcBorders/>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8330" w:type="dxa"/>
            <w:tcBorders/>
          </w:tcPr>
          <w:p>
            <w:pPr>
              <w:pStyle w:val="TableContents"/>
              <w:bidi w:val="0"/>
              <w:spacing w:lineRule="auto" w:line="240" w:before="0" w:after="0"/>
              <w:ind w:left="0" w:right="0" w:hanging="0"/>
              <w:jc w:val="left"/>
              <w:rPr/>
            </w:pPr>
            <w:r>
              <w:rPr/>
              <w:t> </w:t>
            </w:r>
          </w:p>
        </w:tc>
      </w:tr>
      <w:tr>
        <w:trPr/>
        <w:tc>
          <w:tcPr>
            <w:tcW w:w="8575" w:type="dxa"/>
            <w:gridSpan w:val="2"/>
            <w:tcBorders>
              <w:top w:val="double" w:sz="8" w:space="0" w:color="000000"/>
            </w:tcBorders>
            <w:tcMar>
              <w:top w:w="28" w:type="dxa"/>
            </w:tcMar>
          </w:tcPr>
          <w:p>
            <w:pPr>
              <w:pStyle w:val="TableContents"/>
              <w:bidi w:val="0"/>
              <w:spacing w:lineRule="auto" w:line="240" w:before="0" w:after="0"/>
              <w:ind w:left="0" w:right="0" w:hanging="0"/>
              <w:jc w:val="center"/>
              <w:rPr>
                <w:rFonts w:cs="Times New Roman"/>
                <w:bCs/>
                <w:szCs w:val="20"/>
              </w:rPr>
            </w:pPr>
            <w:r>
              <w:rPr>
                <w:rFonts w:cs="Times New Roman"/>
                <w:bCs/>
                <w:szCs w:val="20"/>
              </w:rPr>
              <w:t>﻿</w:t>
            </w:r>
          </w:p>
        </w:tc>
      </w:tr>
      <w:tr>
        <w:trPr/>
        <w:tc>
          <w:tcPr>
            <w:tcW w:w="8575" w:type="dxa"/>
            <w:gridSpan w:val="2"/>
            <w:tcBorders/>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UNITED STATES</w:t>
            </w:r>
          </w:p>
        </w:tc>
      </w:tr>
      <w:tr>
        <w:trPr/>
        <w:tc>
          <w:tcPr>
            <w:tcW w:w="8575" w:type="dxa"/>
            <w:gridSpan w:val="2"/>
            <w:tcBorders/>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SECURITIES AND EXCHANGE COMMISSION</w:t>
            </w:r>
          </w:p>
        </w:tc>
      </w:tr>
      <w:tr>
        <w:trPr/>
        <w:tc>
          <w:tcPr>
            <w:tcW w:w="8575" w:type="dxa"/>
            <w:gridSpan w:val="2"/>
            <w:tcBorders/>
          </w:tcPr>
          <w:p>
            <w:pPr>
              <w:pStyle w:val="TableContents"/>
              <w:bidi w:val="0"/>
              <w:spacing w:lineRule="auto" w:line="240" w:before="0" w:after="0"/>
              <w:ind w:left="0" w:right="0" w:hanging="0"/>
              <w:jc w:val="center"/>
              <w:rPr>
                <w:rFonts w:ascii="Times New Roman" w:hAnsi="Times New Roman"/>
                <w:b/>
                <w:sz w:val="20"/>
              </w:rPr>
            </w:pPr>
            <w:r>
              <w:rPr>
                <w:rFonts w:ascii="Times New Roman" w:hAnsi="Times New Roman"/>
                <w:b/>
                <w:sz w:val="20"/>
              </w:rPr>
              <w:t>Washington, D.C. 20549</w:t>
            </w:r>
          </w:p>
        </w:tc>
      </w:tr>
      <w:tr>
        <w:trPr/>
        <w:tc>
          <w:tcPr>
            <w:tcW w:w="8575" w:type="dxa"/>
            <w:gridSpan w:val="2"/>
            <w:tcBorders/>
          </w:tcPr>
          <w:p>
            <w:pPr>
              <w:pStyle w:val="TableContents"/>
              <w:bidi w:val="0"/>
              <w:spacing w:lineRule="auto" w:line="240" w:before="0" w:after="0"/>
              <w:ind w:left="0" w:right="0" w:hanging="0"/>
              <w:jc w:val="center"/>
              <w:rPr/>
            </w:pPr>
            <w:r>
              <w:rPr/>
              <w:t> </w:t>
            </w:r>
          </w:p>
        </w:tc>
      </w:tr>
      <w:tr>
        <w:trPr/>
        <w:tc>
          <w:tcPr>
            <w:tcW w:w="8575" w:type="dxa"/>
            <w:gridSpan w:val="2"/>
            <w:tcBorders/>
          </w:tcPr>
          <w:p>
            <w:pPr>
              <w:pStyle w:val="TableContents"/>
              <w:bidi w:val="0"/>
              <w:spacing w:lineRule="auto" w:line="240" w:before="0" w:after="0"/>
              <w:ind w:left="0" w:right="0" w:hanging="0"/>
              <w:jc w:val="center"/>
              <w:rPr>
                <w:rFonts w:ascii="Times New Roman" w:hAnsi="Times New Roman"/>
                <w:b/>
                <w:sz w:val="28"/>
              </w:rPr>
            </w:pPr>
            <w:r>
              <w:rPr>
                <w:rFonts w:ascii="Times New Roman" w:hAnsi="Times New Roman"/>
                <w:b/>
                <w:sz w:val="28"/>
              </w:rPr>
              <w:t>SCHEDULE 14A</w:t>
            </w:r>
          </w:p>
        </w:tc>
      </w:tr>
      <w:tr>
        <w:trPr/>
        <w:tc>
          <w:tcPr>
            <w:tcW w:w="8575" w:type="dxa"/>
            <w:gridSpan w:val="2"/>
            <w:tcBorders/>
          </w:tcPr>
          <w:p>
            <w:pPr>
              <w:pStyle w:val="TableContents"/>
              <w:bidi w:val="0"/>
              <w:spacing w:lineRule="auto" w:line="240" w:before="0" w:after="0"/>
              <w:ind w:left="0" w:right="0" w:hanging="0"/>
              <w:jc w:val="center"/>
              <w:rPr/>
            </w:pPr>
            <w:r>
              <w:rPr/>
              <w:t> </w:t>
            </w:r>
          </w:p>
        </w:tc>
      </w:tr>
      <w:tr>
        <w:trPr/>
        <w:tc>
          <w:tcPr>
            <w:tcW w:w="8575" w:type="dxa"/>
            <w:gridSpan w:val="2"/>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Proxy Statement Pursuant to Section 14(a) of</w:t>
              <w:br/>
              <w:t xml:space="preserve">the Securities Exchange Act of 1934 </w:t>
              <w:br/>
              <w:t>(Amendment No.     )</w:t>
            </w:r>
          </w:p>
        </w:tc>
      </w:tr>
      <w:tr>
        <w:trPr/>
        <w:tc>
          <w:tcPr>
            <w:tcW w:w="8575" w:type="dxa"/>
            <w:gridSpan w:val="2"/>
            <w:tcBorders/>
          </w:tcPr>
          <w:p>
            <w:pPr>
              <w:pStyle w:val="TableContents"/>
              <w:bidi w:val="0"/>
              <w:spacing w:lineRule="auto" w:line="240" w:before="0" w:after="0"/>
              <w:ind w:left="0" w:right="0" w:hanging="0"/>
              <w:jc w:val="left"/>
              <w:rPr/>
            </w:pPr>
            <w:r>
              <w:rPr/>
              <w:t> </w:t>
            </w:r>
          </w:p>
        </w:tc>
      </w:tr>
      <w:tr>
        <w:trPr/>
        <w:tc>
          <w:tcPr>
            <w:tcW w:w="8575" w:type="dxa"/>
            <w:gridSpan w:val="2"/>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Filed by the Registrant  ☒</w:t>
            </w:r>
          </w:p>
        </w:tc>
      </w:tr>
      <w:tr>
        <w:trPr/>
        <w:tc>
          <w:tcPr>
            <w:tcW w:w="8575" w:type="dxa"/>
            <w:gridSpan w:val="2"/>
            <w:tcBorders/>
          </w:tcPr>
          <w:p>
            <w:pPr>
              <w:pStyle w:val="TableContents"/>
              <w:bidi w:val="0"/>
              <w:spacing w:lineRule="auto" w:line="240" w:before="0" w:after="0"/>
              <w:ind w:left="0" w:right="0" w:hanging="0"/>
              <w:jc w:val="left"/>
              <w:rPr/>
            </w:pPr>
            <w:r>
              <w:rPr/>
              <w:t> </w:t>
            </w:r>
          </w:p>
        </w:tc>
      </w:tr>
      <w:tr>
        <w:trPr/>
        <w:tc>
          <w:tcPr>
            <w:tcW w:w="8575" w:type="dxa"/>
            <w:gridSpan w:val="2"/>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Filed by a Party other than the Registrant  ☐</w:t>
            </w:r>
          </w:p>
        </w:tc>
      </w:tr>
      <w:tr>
        <w:trPr/>
        <w:tc>
          <w:tcPr>
            <w:tcW w:w="8575" w:type="dxa"/>
            <w:gridSpan w:val="2"/>
            <w:tcBorders/>
          </w:tcPr>
          <w:p>
            <w:pPr>
              <w:pStyle w:val="TableContents"/>
              <w:bidi w:val="0"/>
              <w:spacing w:lineRule="auto" w:line="240" w:before="0" w:after="0"/>
              <w:ind w:left="0" w:right="0" w:hanging="0"/>
              <w:jc w:val="left"/>
              <w:rPr/>
            </w:pPr>
            <w:r>
              <w:rPr/>
              <w:t> </w:t>
            </w:r>
          </w:p>
        </w:tc>
      </w:tr>
      <w:tr>
        <w:trPr/>
        <w:tc>
          <w:tcPr>
            <w:tcW w:w="8575" w:type="dxa"/>
            <w:gridSpan w:val="2"/>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Check the appropriate box:</w:t>
            </w:r>
          </w:p>
        </w:tc>
      </w:tr>
      <w:tr>
        <w:trPr/>
        <w:tc>
          <w:tcPr>
            <w:tcW w:w="245" w:type="dxa"/>
            <w:tcBorders/>
          </w:tcPr>
          <w:p>
            <w:pPr>
              <w:pStyle w:val="TableContents"/>
              <w:bidi w:val="0"/>
              <w:spacing w:lineRule="auto" w:line="240" w:before="0" w:after="0"/>
              <w:ind w:left="0" w:right="0" w:hanging="0"/>
              <w:jc w:val="left"/>
              <w:rPr/>
            </w:pPr>
            <w:r>
              <w:rPr/>
              <w:t>☐</w:t>
            </w:r>
          </w:p>
        </w:tc>
        <w:tc>
          <w:tcPr>
            <w:tcW w:w="833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Preliminary Proxy Statement</w:t>
            </w:r>
          </w:p>
        </w:tc>
      </w:tr>
      <w:tr>
        <w:trPr/>
        <w:tc>
          <w:tcPr>
            <w:tcW w:w="245" w:type="dxa"/>
            <w:tcBorders/>
          </w:tcPr>
          <w:p>
            <w:pPr>
              <w:pStyle w:val="TableContents"/>
              <w:bidi w:val="0"/>
              <w:spacing w:lineRule="auto" w:line="240" w:before="0" w:after="0"/>
              <w:ind w:left="0" w:right="0" w:hanging="0"/>
              <w:jc w:val="left"/>
              <w:rPr/>
            </w:pPr>
            <w:r>
              <w:rPr/>
              <w:t>☐</w:t>
            </w:r>
          </w:p>
        </w:tc>
        <w:tc>
          <w:tcPr>
            <w:tcW w:w="8330" w:type="dxa"/>
            <w:tcBorders/>
          </w:tcPr>
          <w:p>
            <w:pPr>
              <w:pStyle w:val="TableContents"/>
              <w:bidi w:val="0"/>
              <w:spacing w:lineRule="auto" w:line="240" w:before="0" w:after="0"/>
              <w:ind w:left="0" w:right="0" w:hanging="0"/>
              <w:jc w:val="left"/>
              <w:rPr>
                <w:rFonts w:ascii="Times New Roman" w:hAnsi="Times New Roman"/>
                <w:b/>
                <w:sz w:val="20"/>
              </w:rPr>
            </w:pPr>
            <w:r>
              <w:rPr>
                <w:rFonts w:ascii="Times New Roman" w:hAnsi="Times New Roman"/>
                <w:b/>
                <w:sz w:val="20"/>
              </w:rPr>
              <w:t>Confidential, for Use of the Commission Only (as permitted by Rule 14a-6(e)(2))</w:t>
            </w:r>
          </w:p>
        </w:tc>
      </w:tr>
      <w:tr>
        <w:trPr/>
        <w:tc>
          <w:tcPr>
            <w:tcW w:w="245" w:type="dxa"/>
            <w:tcBorders/>
          </w:tcPr>
          <w:p>
            <w:pPr>
              <w:pStyle w:val="TableContents"/>
              <w:bidi w:val="0"/>
              <w:spacing w:lineRule="auto" w:line="240" w:before="0" w:after="0"/>
              <w:ind w:left="0" w:right="0" w:hanging="0"/>
              <w:jc w:val="left"/>
              <w:rPr/>
            </w:pPr>
            <w:r>
              <w:rPr/>
              <w:t>☐</w:t>
            </w:r>
          </w:p>
        </w:tc>
        <w:tc>
          <w:tcPr>
            <w:tcW w:w="833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Definitive Proxy Statement</w:t>
            </w:r>
          </w:p>
        </w:tc>
      </w:tr>
      <w:tr>
        <w:trPr/>
        <w:tc>
          <w:tcPr>
            <w:tcW w:w="245" w:type="dxa"/>
            <w:tcBorders/>
          </w:tcPr>
          <w:p>
            <w:pPr>
              <w:pStyle w:val="TableContents"/>
              <w:bidi w:val="0"/>
              <w:spacing w:lineRule="auto" w:line="240" w:before="0" w:after="0"/>
              <w:ind w:left="0" w:right="0" w:hanging="0"/>
              <w:jc w:val="left"/>
              <w:rPr/>
            </w:pPr>
            <w:r>
              <w:rPr/>
              <w:t>☒</w:t>
            </w:r>
          </w:p>
        </w:tc>
        <w:tc>
          <w:tcPr>
            <w:tcW w:w="833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Definitive Additional Materials</w:t>
            </w:r>
          </w:p>
        </w:tc>
      </w:tr>
      <w:tr>
        <w:trPr/>
        <w:tc>
          <w:tcPr>
            <w:tcW w:w="245" w:type="dxa"/>
            <w:tcBorders/>
          </w:tcPr>
          <w:p>
            <w:pPr>
              <w:pStyle w:val="TableContents"/>
              <w:bidi w:val="0"/>
              <w:spacing w:lineRule="auto" w:line="240" w:before="0" w:after="0"/>
              <w:ind w:left="0" w:right="0" w:hanging="0"/>
              <w:jc w:val="left"/>
              <w:rPr/>
            </w:pPr>
            <w:r>
              <w:rPr/>
              <w:t>☐</w:t>
            </w:r>
          </w:p>
        </w:tc>
        <w:tc>
          <w:tcPr>
            <w:tcW w:w="833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Soliciting Material Pursuant to §240.14a-12</w:t>
            </w:r>
          </w:p>
        </w:tc>
      </w:tr>
      <w:tr>
        <w:trPr/>
        <w:tc>
          <w:tcPr>
            <w:tcW w:w="8575" w:type="dxa"/>
            <w:gridSpan w:val="2"/>
            <w:tcBorders/>
          </w:tcPr>
          <w:p>
            <w:pPr>
              <w:pStyle w:val="TableContents"/>
              <w:bidi w:val="0"/>
              <w:spacing w:lineRule="auto" w:line="240" w:before="0" w:after="0"/>
              <w:ind w:left="0" w:right="0" w:hanging="0"/>
              <w:jc w:val="center"/>
              <w:rPr/>
            </w:pPr>
            <w:r>
              <w:rPr/>
              <w:t> </w:t>
            </w:r>
          </w:p>
        </w:tc>
      </w:tr>
      <w:tr>
        <w:trPr/>
        <w:tc>
          <w:tcPr>
            <w:tcW w:w="8575" w:type="dxa"/>
            <w:gridSpan w:val="2"/>
            <w:tcBorders>
              <w:bottom w:val="single" w:sz="8" w:space="0" w:color="000000"/>
            </w:tcBorders>
            <w:tcMar>
              <w:bottom w:w="28" w:type="dxa"/>
            </w:tcMar>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Koss Corporation</w:t>
            </w:r>
          </w:p>
        </w:tc>
      </w:tr>
      <w:tr>
        <w:trPr/>
        <w:tc>
          <w:tcPr>
            <w:tcW w:w="8575" w:type="dxa"/>
            <w:gridSpan w:val="2"/>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(Name of Registrant as Specified In Its Charter)</w:t>
            </w:r>
          </w:p>
        </w:tc>
      </w:tr>
      <w:tr>
        <w:trPr/>
        <w:tc>
          <w:tcPr>
            <w:tcW w:w="8575" w:type="dxa"/>
            <w:gridSpan w:val="2"/>
            <w:tcBorders/>
          </w:tcPr>
          <w:p>
            <w:pPr>
              <w:pStyle w:val="TableContents"/>
              <w:bidi w:val="0"/>
              <w:spacing w:lineRule="auto" w:line="240" w:before="0" w:after="0"/>
              <w:ind w:left="0" w:right="0" w:hanging="0"/>
              <w:jc w:val="center"/>
              <w:rPr/>
            </w:pPr>
            <w:r>
              <w:rPr/>
              <w:t> </w:t>
            </w:r>
          </w:p>
        </w:tc>
      </w:tr>
      <w:tr>
        <w:trPr/>
        <w:tc>
          <w:tcPr>
            <w:tcW w:w="8575" w:type="dxa"/>
            <w:gridSpan w:val="2"/>
            <w:tcBorders>
              <w:bottom w:val="single" w:sz="8" w:space="0" w:color="000000"/>
            </w:tcBorders>
            <w:tcMar>
              <w:bottom w:w="28" w:type="dxa"/>
            </w:tcMar>
          </w:tcPr>
          <w:p>
            <w:pPr>
              <w:pStyle w:val="TableContents"/>
              <w:bidi w:val="0"/>
              <w:spacing w:lineRule="auto" w:line="240" w:before="0" w:after="0"/>
              <w:ind w:left="0" w:right="0" w:hanging="0"/>
              <w:jc w:val="left"/>
              <w:rPr>
                <w:rFonts w:cs="Times New Roman"/>
                <w:szCs w:val="24"/>
              </w:rPr>
            </w:pPr>
            <w:r>
              <w:rPr>
                <w:rFonts w:cs="Times New Roman"/>
                <w:szCs w:val="24"/>
              </w:rPr>
              <w:t>﻿</w:t>
            </w:r>
          </w:p>
        </w:tc>
      </w:tr>
      <w:tr>
        <w:trPr/>
        <w:tc>
          <w:tcPr>
            <w:tcW w:w="8575" w:type="dxa"/>
            <w:gridSpan w:val="2"/>
            <w:tcBorders/>
          </w:tcPr>
          <w:p>
            <w:pPr>
              <w:pStyle w:val="TableContents"/>
              <w:bidi w:val="0"/>
              <w:spacing w:lineRule="auto" w:line="240" w:before="0" w:after="0"/>
              <w:ind w:left="0" w:right="0" w:hanging="0"/>
              <w:jc w:val="center"/>
              <w:rPr>
                <w:rFonts w:ascii="Times New Roman" w:hAnsi="Times New Roman"/>
                <w:sz w:val="20"/>
              </w:rPr>
            </w:pPr>
            <w:r>
              <w:rPr>
                <w:rFonts w:ascii="Times New Roman" w:hAnsi="Times New Roman"/>
                <w:sz w:val="20"/>
              </w:rPr>
              <w:t>(Name of Person(s) Filing Proxy Statement, if other than the Registrant)</w:t>
            </w:r>
          </w:p>
        </w:tc>
      </w:tr>
      <w:tr>
        <w:trPr/>
        <w:tc>
          <w:tcPr>
            <w:tcW w:w="8575" w:type="dxa"/>
            <w:gridSpan w:val="2"/>
            <w:tcBorders/>
          </w:tcPr>
          <w:p>
            <w:pPr>
              <w:pStyle w:val="TableContents"/>
              <w:bidi w:val="0"/>
              <w:spacing w:lineRule="auto" w:line="240" w:before="0" w:after="0"/>
              <w:ind w:left="0" w:right="0" w:hanging="0"/>
              <w:jc w:val="left"/>
              <w:rPr/>
            </w:pPr>
            <w:r>
              <w:rPr/>
              <w:t> </w:t>
            </w:r>
          </w:p>
        </w:tc>
      </w:tr>
      <w:tr>
        <w:trPr/>
        <w:tc>
          <w:tcPr>
            <w:tcW w:w="8575" w:type="dxa"/>
            <w:gridSpan w:val="2"/>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Payment of Filing Fee (Check the appropriate box):</w:t>
            </w:r>
          </w:p>
        </w:tc>
      </w:tr>
      <w:tr>
        <w:trPr/>
        <w:tc>
          <w:tcPr>
            <w:tcW w:w="245" w:type="dxa"/>
            <w:tcBorders/>
          </w:tcPr>
          <w:p>
            <w:pPr>
              <w:pStyle w:val="TableContents"/>
              <w:bidi w:val="0"/>
              <w:spacing w:lineRule="auto" w:line="240" w:before="0" w:after="0"/>
              <w:ind w:left="0" w:right="0" w:hanging="0"/>
              <w:jc w:val="left"/>
              <w:rPr/>
            </w:pPr>
            <w:r>
              <w:rPr/>
              <w:t>☒</w:t>
            </w:r>
          </w:p>
        </w:tc>
        <w:tc>
          <w:tcPr>
            <w:tcW w:w="833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No fee required.</w:t>
            </w:r>
          </w:p>
        </w:tc>
      </w:tr>
      <w:tr>
        <w:trPr/>
        <w:tc>
          <w:tcPr>
            <w:tcW w:w="245" w:type="dxa"/>
            <w:tcBorders/>
          </w:tcPr>
          <w:p>
            <w:pPr>
              <w:pStyle w:val="TableContents"/>
              <w:bidi w:val="0"/>
              <w:spacing w:lineRule="auto" w:line="240" w:before="0" w:after="0"/>
              <w:ind w:left="0" w:right="0" w:hanging="0"/>
              <w:jc w:val="left"/>
              <w:rPr/>
            </w:pPr>
            <w:r>
              <w:rPr/>
              <w:t>☐</w:t>
            </w:r>
          </w:p>
        </w:tc>
        <w:tc>
          <w:tcPr>
            <w:tcW w:w="833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Fee paid previously with preliminary materials.</w:t>
            </w:r>
          </w:p>
        </w:tc>
      </w:tr>
      <w:tr>
        <w:trPr/>
        <w:tc>
          <w:tcPr>
            <w:tcW w:w="245" w:type="dxa"/>
            <w:tcBorders/>
          </w:tcPr>
          <w:p>
            <w:pPr>
              <w:pStyle w:val="TableContents"/>
              <w:bidi w:val="0"/>
              <w:spacing w:lineRule="auto" w:line="240" w:before="0" w:after="0"/>
              <w:ind w:left="0" w:right="0" w:hanging="0"/>
              <w:jc w:val="left"/>
              <w:rPr/>
            </w:pPr>
            <w:r>
              <w:rPr/>
              <w:t>☐</w:t>
            </w:r>
          </w:p>
        </w:tc>
        <w:tc>
          <w:tcPr>
            <w:tcW w:w="8330" w:type="dxa"/>
            <w:tcBorders/>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Fee Computed on table in exhibit required by Item 25(b) per Exchange Act Rule 14a-66(i)(1) and 0-11</w:t>
            </w:r>
          </w:p>
        </w:tc>
      </w:tr>
      <w:tr>
        <w:trPr/>
        <w:tc>
          <w:tcPr>
            <w:tcW w:w="245" w:type="dxa"/>
            <w:tcBorders>
              <w:bottom w:val="double" w:sz="8" w:space="0" w:color="000000"/>
            </w:tcBorders>
            <w:tcMar>
              <w:bottom w:w="28" w:type="dxa"/>
            </w:tcMar>
          </w:tcPr>
          <w:p>
            <w:pPr>
              <w:pStyle w:val="TableContents"/>
              <w:bidi w:val="0"/>
              <w:spacing w:lineRule="auto" w:line="240" w:before="0" w:after="0"/>
              <w:ind w:left="0" w:right="0" w:hanging="0"/>
              <w:jc w:val="left"/>
              <w:rPr>
                <w:rFonts w:cs="Times New Roman"/>
                <w:szCs w:val="20"/>
              </w:rPr>
            </w:pPr>
            <w:r>
              <w:rPr>
                <w:rFonts w:cs="Times New Roman"/>
                <w:szCs w:val="20"/>
              </w:rPr>
              <w:t>﻿</w:t>
            </w:r>
          </w:p>
        </w:tc>
        <w:tc>
          <w:tcPr>
            <w:tcW w:w="8330" w:type="dxa"/>
            <w:tcBorders>
              <w:bottom w:val="double" w:sz="8" w:space="0" w:color="000000"/>
            </w:tcBorders>
            <w:tcMar>
              <w:bottom w:w="28" w:type="dxa"/>
            </w:tcMar>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720" w:right="720" w:hanging="0"/>
        <w:jc w:val="left"/>
        <w:rPr>
          <w:rFonts w:cs="Times New Roman"/>
          <w:szCs w:val="20"/>
        </w:rPr>
      </w:pPr>
      <w:r>
        <w:rPr>
          <w:rFonts w:cs="Times New Roman"/>
          <w:szCs w:val="20"/>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pPr>
      <w:r>
        <w:rPr/>
        <w:drawing>
          <wp:inline distT="0" distB="0" distL="0" distR="0">
            <wp:extent cx="5257165" cy="6858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57165" cy="6858000"/>
                    </a:xfrm>
                    <a:prstGeom prst="rect">
                      <a:avLst/>
                    </a:prstGeom>
                  </pic:spPr>
                </pic:pic>
              </a:graphicData>
            </a:graphic>
          </wp:inline>
        </w:drawing>
      </w:r>
      <w:r>
        <w:rPr/>
        <w:t xml:space="preserve"> </w:t>
      </w:r>
    </w:p>
    <w:p>
      <w:pPr>
        <w:pStyle w:val="HorizontalLine"/>
        <w:pBdr>
          <w:bottom w:val="double" w:sz="6" w:space="0" w:color="808080"/>
        </w:pBdr>
        <w:bidi w:val="0"/>
        <w:ind w:left="720" w:right="720" w:hanging="0"/>
        <w:jc w:val="left"/>
        <w:rPr/>
      </w:pPr>
      <w:r>
        <w:rPr/>
      </w:r>
    </w:p>
    <w:p>
      <w:pPr>
        <w:pStyle w:val="TextBody"/>
        <w:bidi w:val="0"/>
        <w:ind w:left="720" w:right="720" w:hanging="0"/>
        <w:jc w:val="left"/>
        <w:rPr/>
      </w:pPr>
      <w:r>
        <w:rPr/>
        <w:t> </w:t>
      </w:r>
      <w:r>
        <w:br w:type="page"/>
      </w:r>
    </w:p>
    <w:p>
      <w:pPr>
        <w:pStyle w:val="TextBody"/>
        <w:bidi w:val="0"/>
        <w:spacing w:lineRule="auto" w:line="240" w:before="0" w:after="0"/>
        <w:ind w:left="720" w:right="720" w:hanging="0"/>
        <w:jc w:val="center"/>
        <w:rPr>
          <w:rFonts w:ascii="Times New Roman" w:hAnsi="Times New Roman"/>
          <w:sz w:val="20"/>
        </w:rPr>
      </w:pPr>
      <w:r>
        <w:rPr>
          <w:rFonts w:ascii="Times New Roman" w:hAnsi="Times New Roman"/>
          <w:color w:val="FFFFFF"/>
          <w:sz w:val="2"/>
        </w:rPr>
        <w:t>Your Vote Counts! KOSS CORPORATION 2023 Annual Meeting Vote by October 17, 2023 11:59 PM ET V22144-P97924 You invested in KOSS CORPORATION and it’s time to vote! You have the right to vote on proposals being presented at the Annual Meeting. This is an import</w:t>
      </w:r>
      <w:r>
        <w:rPr>
          <w:rFonts w:ascii="Times New Roman" w:hAnsi="Times New Roman"/>
          <w:sz w:val="20"/>
        </w:rPr>
        <w:drawing>
          <wp:inline distT="0" distB="0" distL="0" distR="0">
            <wp:extent cx="5767070" cy="6858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67070" cy="6858000"/>
                    </a:xfrm>
                    <a:prstGeom prst="rect">
                      <a:avLst/>
                    </a:prstGeom>
                  </pic:spPr>
                </pic:pic>
              </a:graphicData>
            </a:graphic>
          </wp:inline>
        </w:drawing>
      </w:r>
      <w:r>
        <w:rPr>
          <w:rFonts w:ascii="Times New Roman" w:hAnsi="Times New Roman"/>
          <w:color w:val="FFFFFF"/>
          <w:sz w:val="2"/>
        </w:rPr>
        <w:t xml:space="preserve">t notice regarding the availability of proxy material for the shareholder meeting to be held on October 18, 2023. Get informed before you vote View the Notice and Proxy Statement, Form 10-K and Shareholder Letter online OR you can receive a free paper or email copy of the material(s) by requesting prior to October 4, 2023. If you would like to request a copy of the </w:t>
      </w:r>
    </w:p>
    <w:p>
      <w:pPr>
        <w:pStyle w:val="HorizontalLine"/>
        <w:pBdr>
          <w:bottom w:val="double" w:sz="6" w:space="0" w:color="808080"/>
        </w:pBdr>
        <w:bidi w:val="0"/>
        <w:spacing w:before="0" w:after="283"/>
        <w:ind w:left="720" w:right="72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249</Words>
  <Characters>1250</Characters>
  <CharactersWithSpaces>1487</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