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pPr>
      <w:hyperlink w:anchor="TableofContents">
        <w:bookmarkStart w:id="0" w:name="koss-20260331x10q.htm"/>
        <w:bookmarkStart w:id="1" w:name="kskoss20260331x10q"/>
        <w:bookmarkEnd w:id="0"/>
        <w:bookmarkEnd w:id="1"/>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UNITED STATES</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SECURITIES AND EXCHANGE COMMISSION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36"/>
        </w:rPr>
      </w:pPr>
      <w:r>
        <w:rPr>
          <w:rFonts w:ascii="Times New Roman;serif" w:hAnsi="Times New Roman;serif"/>
          <w:b/>
          <w:i w:val="false"/>
          <w:caps w:val="false"/>
          <w:smallCaps w:val="false"/>
          <w:sz w:val="36"/>
        </w:rPr>
        <w:t>Form 10-Q</w:t>
      </w:r>
      <w:r>
        <w:rPr>
          <w:rFonts w:ascii="Times New Roman;serif" w:hAnsi="Times New Roman;serif"/>
          <w:caps w:val="false"/>
          <w:smallCaps w:val="false"/>
          <w:sz w:val="36"/>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    </w:t>
      </w:r>
      <w:r>
        <w:rPr>
          <w:rFonts w:ascii="Times New Roman;serif" w:hAnsi="Times New Roman;serif"/>
          <w:b/>
          <w:i w:val="false"/>
          <w:caps w:val="false"/>
          <w:smallCaps w:val="false"/>
          <w:sz w:val="20"/>
        </w:rPr>
        <w:t>QUARTERLY REPORT PURSUANT TO SECTION 13 OR 15(d) OF THE SECURITIES EXCHANGE ACT OF 1934</w:t>
      </w:r>
    </w:p>
    <w:p>
      <w:pPr>
        <w:pStyle w:val="TextBody"/>
        <w:bidi w:val="0"/>
        <w:spacing w:lineRule="auto" w:line="259"/>
        <w:rPr/>
      </w:pPr>
      <w:r>
        <w:rPr>
          <w:caps w:val="false"/>
          <w:smallCaps w:val="false"/>
        </w:rPr>
        <w:t> </w:t>
      </w:r>
      <w:r>
        <w:rPr>
          <w:rFonts w:ascii="Times New Roman;serif" w:hAnsi="Times New Roman;serif"/>
          <w:b/>
          <w:i w:val="false"/>
          <w:caps w:val="false"/>
          <w:smallCaps w:val="false"/>
          <w:sz w:val="20"/>
        </w:rPr>
        <w:t>for the quarterly period ended March 31, 2026</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OR</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    </w:t>
      </w:r>
      <w:r>
        <w:rPr>
          <w:rFonts w:ascii="Times New Roman;serif" w:hAnsi="Times New Roman;serif"/>
          <w:b/>
          <w:i w:val="false"/>
          <w:caps w:val="false"/>
          <w:smallCaps w:val="false"/>
          <w:sz w:val="20"/>
        </w:rPr>
        <w:t>TRANSITION REPORT PURSUANT TO SECTION 13 OR 15(d) OF THE SECURITIES EXCHANGE ACT OF 1934</w:t>
      </w:r>
    </w:p>
    <w:p>
      <w:pPr>
        <w:pStyle w:val="TextBody"/>
        <w:bidi w:val="0"/>
        <w:spacing w:lineRule="auto" w:line="259"/>
        <w:rPr/>
      </w:pPr>
      <w:r>
        <w:rPr>
          <w:caps w:val="false"/>
          <w:smallCaps w:val="false"/>
        </w:rPr>
        <w:t> </w:t>
      </w:r>
      <w:r>
        <w:rPr>
          <w:rFonts w:ascii="Times New Roman;serif" w:hAnsi="Times New Roman;serif"/>
          <w:b/>
          <w:i w:val="false"/>
          <w:caps w:val="false"/>
          <w:smallCaps w:val="false"/>
          <w:sz w:val="20"/>
        </w:rPr>
        <w:t>Commission File Number 0-3295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KOSS CORPORATION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p>
      <w:pPr>
        <w:pStyle w:val="TextBody"/>
        <w:bidi w:val="0"/>
        <w:spacing w:lineRule="auto" w:line="259"/>
        <w:rPr>
          <w:caps w:val="false"/>
          <w:smallCaps w:val="false"/>
        </w:rPr>
      </w:pPr>
      <w:r>
        <w:rPr>
          <w:caps w:val="false"/>
          <w:smallCaps w:val="false"/>
        </w:rPr>
        <w:t> </w:t>
      </w:r>
    </w:p>
    <w:tbl>
      <w:tblPr>
        <w:tblW w:w="5758" w:type="dxa"/>
        <w:jc w:val="left"/>
        <w:tblInd w:w="0" w:type="dxa"/>
        <w:tblLayout w:type="fixed"/>
        <w:tblCellMar>
          <w:top w:w="0" w:type="dxa"/>
          <w:left w:w="0" w:type="dxa"/>
          <w:bottom w:w="0" w:type="dxa"/>
          <w:right w:w="0" w:type="dxa"/>
        </w:tblCellMar>
      </w:tblPr>
      <w:tblGrid>
        <w:gridCol w:w="2581"/>
        <w:gridCol w:w="146"/>
        <w:gridCol w:w="303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DELAWARE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30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39-1168275</w:t>
            </w:r>
          </w:p>
        </w:tc>
      </w:tr>
      <w:tr>
        <w:trPr/>
        <w:tc>
          <w:tcPr>
            <w:tcW w:w="25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(State or other jurisdiction of</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30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(I.R.S. Employer Identification No.)</w:t>
            </w:r>
          </w:p>
        </w:tc>
      </w:tr>
      <w:tr>
        <w:trPr/>
        <w:tc>
          <w:tcPr>
            <w:tcW w:w="25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incorporation or organization)</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303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 </w:t>
            </w:r>
          </w:p>
        </w:tc>
      </w:tr>
    </w:tbl>
    <w:p>
      <w:pPr>
        <w:pStyle w:val="TextBody"/>
        <w:bidi w:val="0"/>
        <w:spacing w:lineRule="auto" w:line="259"/>
        <w:rPr>
          <w:caps w:val="false"/>
          <w:smallCaps w:val="false"/>
        </w:rPr>
      </w:pPr>
      <w:r>
        <w:rPr>
          <w:caps w:val="false"/>
          <w:smallCaps w:val="false"/>
        </w:rPr>
        <w:t> </w:t>
      </w:r>
    </w:p>
    <w:tbl>
      <w:tblPr>
        <w:tblW w:w="5533" w:type="dxa"/>
        <w:jc w:val="left"/>
        <w:tblInd w:w="0" w:type="dxa"/>
        <w:tblLayout w:type="fixed"/>
        <w:tblCellMar>
          <w:top w:w="0" w:type="dxa"/>
          <w:left w:w="0" w:type="dxa"/>
          <w:bottom w:w="0" w:type="dxa"/>
          <w:right w:w="0" w:type="dxa"/>
        </w:tblCellMar>
      </w:tblPr>
      <w:tblGrid>
        <w:gridCol w:w="4351"/>
        <w:gridCol w:w="146"/>
        <w:gridCol w:w="1036"/>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4351" w:type="dxa"/>
            <w:tcBorders/>
            <w:vAlign w:val="center"/>
          </w:tcPr>
          <w:p>
            <w:pPr>
              <w:pStyle w:val="TableContents"/>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t>4129 North Port Washington Avenue,</w:t>
            </w:r>
            <w:r>
              <w:rPr>
                <w:rFonts w:ascii="Times New Roman;serif" w:hAnsi="Times New Roman;serif"/>
                <w:caps w:val="false"/>
                <w:smallCaps w:val="false"/>
                <w:color w:val="000000"/>
                <w:sz w:val="20"/>
              </w:rPr>
              <w:t xml:space="preserve"> </w:t>
            </w:r>
            <w:r>
              <w:rPr>
                <w:rFonts w:ascii="Times New Roman;serif" w:hAnsi="Times New Roman;serif"/>
                <w:b/>
                <w:i w:val="false"/>
                <w:caps w:val="false"/>
                <w:smallCaps w:val="false"/>
                <w:color w:val="000000"/>
                <w:sz w:val="20"/>
              </w:rPr>
              <w:t xml:space="preserve">Milwaukee, </w:t>
            </w:r>
          </w:p>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Wisconsin</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3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53212</w:t>
            </w:r>
          </w:p>
        </w:tc>
      </w:tr>
      <w:tr>
        <w:trPr/>
        <w:tc>
          <w:tcPr>
            <w:tcW w:w="43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(Address of principal executive offices)</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(Zip Code)</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Registrant’s telephone number, including area code: </w:t>
      </w:r>
      <w:r>
        <w:rPr>
          <w:rFonts w:ascii="Times New Roman;serif" w:hAnsi="Times New Roman;serif"/>
          <w:b/>
          <w:i w:val="false"/>
          <w:caps w:val="false"/>
          <w:smallCaps w:val="false"/>
          <w:sz w:val="20"/>
        </w:rPr>
        <w:t>(414) 964-5000</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p>
      <w:pPr>
        <w:pStyle w:val="TextBody"/>
        <w:bidi w:val="0"/>
        <w:spacing w:lineRule="auto" w:line="259"/>
        <w:rPr>
          <w:caps w:val="false"/>
          <w:smallCaps w:val="false"/>
        </w:rPr>
      </w:pPr>
      <w:r>
        <w:rPr>
          <w:caps w:val="false"/>
          <w:smallCaps w:val="false"/>
        </w:rPr>
        <w:t> </w:t>
      </w:r>
    </w:p>
    <w:tbl>
      <w:tblPr>
        <w:tblW w:w="8928" w:type="dxa"/>
        <w:jc w:val="left"/>
        <w:tblInd w:w="-10" w:type="dxa"/>
        <w:tblLayout w:type="fixed"/>
        <w:tblCellMar>
          <w:top w:w="28" w:type="dxa"/>
          <w:left w:w="108" w:type="dxa"/>
          <w:bottom w:w="28" w:type="dxa"/>
          <w:right w:w="0" w:type="dxa"/>
        </w:tblCellMar>
      </w:tblPr>
      <w:tblGrid>
        <w:gridCol w:w="3601"/>
        <w:gridCol w:w="1621"/>
        <w:gridCol w:w="3706"/>
      </w:tblGrid>
      <w:tr>
        <w:trPr/>
        <w:tc>
          <w:tcPr>
            <w:tcW w:w="3601"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sz w:val="4"/>
                <w:szCs w:val="4"/>
              </w:rPr>
            </w:pPr>
            <w:r>
              <w:rPr>
                <w:sz w:val="4"/>
                <w:szCs w:val="4"/>
              </w:rPr>
            </w:r>
          </w:p>
        </w:tc>
        <w:tc>
          <w:tcPr>
            <w:tcW w:w="1621" w:type="dxa"/>
            <w:tcBorders>
              <w:top w:val="single" w:sz="8" w:space="0" w:color="000000"/>
              <w:bottom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3706"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sz w:val="4"/>
                <w:szCs w:val="4"/>
              </w:rPr>
            </w:pPr>
            <w:r>
              <w:rPr>
                <w:sz w:val="4"/>
                <w:szCs w:val="4"/>
              </w:rPr>
            </w:r>
          </w:p>
        </w:tc>
      </w:tr>
      <w:tr>
        <w:trPr/>
        <w:tc>
          <w:tcPr>
            <w:tcW w:w="3601" w:type="dxa"/>
            <w:tcBorders>
              <w:top w:val="single" w:sz="8" w:space="0" w:color="000000"/>
              <w:left w:val="single" w:sz="8" w:space="0" w:color="000000"/>
              <w:bottom w:val="single" w:sz="8" w:space="0" w:color="000000"/>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Title of each class</w:t>
            </w:r>
          </w:p>
        </w:tc>
        <w:tc>
          <w:tcPr>
            <w:tcW w:w="1621"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Trading Symbol(s)</w:t>
            </w:r>
          </w:p>
        </w:tc>
        <w:tc>
          <w:tcPr>
            <w:tcW w:w="3706"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Name of each exchange on which registered</w:t>
            </w:r>
          </w:p>
        </w:tc>
      </w:tr>
      <w:tr>
        <w:trPr/>
        <w:tc>
          <w:tcPr>
            <w:tcW w:w="3601" w:type="dxa"/>
            <w:tcBorders>
              <w:left w:val="single" w:sz="8" w:space="0" w:color="000000"/>
              <w:bottom w:val="single" w:sz="8" w:space="0" w:color="000000"/>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Common Stock, par value $0.005 per share</w:t>
            </w:r>
          </w:p>
        </w:tc>
        <w:tc>
          <w:tcPr>
            <w:tcW w:w="1621"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KOSS</w:t>
            </w:r>
          </w:p>
        </w:tc>
        <w:tc>
          <w:tcPr>
            <w:tcW w:w="3706" w:type="dxa"/>
            <w:tcBorders>
              <w:bottom w:val="single" w:sz="8" w:space="0" w:color="000000"/>
              <w:right w:val="single" w:sz="8" w:space="0" w:color="000000"/>
            </w:tcBorders>
            <w:tcMar>
              <w:top w:w="0" w:type="dxa"/>
              <w:left w:w="0" w:type="dxa"/>
              <w:right w:w="10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Nasdaq</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Capital Market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59"/>
        <w:rPr>
          <w:caps w:val="false"/>
          <w:smallCaps w:val="false"/>
        </w:rPr>
      </w:pPr>
      <w:r>
        <w:rPr>
          <w:caps w:val="false"/>
          <w:smallCaps w:val="false"/>
        </w:rPr>
        <w:t> </w:t>
      </w:r>
    </w:p>
    <w:tbl>
      <w:tblPr>
        <w:tblW w:w="4873" w:type="dxa"/>
        <w:jc w:val="left"/>
        <w:tblInd w:w="0" w:type="dxa"/>
        <w:tblLayout w:type="fixed"/>
        <w:tblCellMar>
          <w:top w:w="0" w:type="dxa"/>
          <w:left w:w="0" w:type="dxa"/>
          <w:bottom w:w="0" w:type="dxa"/>
          <w:right w:w="0" w:type="dxa"/>
        </w:tblCellMar>
      </w:tblPr>
      <w:tblGrid>
        <w:gridCol w:w="2146"/>
        <w:gridCol w:w="146"/>
        <w:gridCol w:w="258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Large accelerated filer </w:t>
            </w:r>
            <w:r>
              <w:rPr>
                <w:rFonts w:ascii="Times New Roman;serif" w:hAnsi="Times New Roman;serif"/>
                <w:caps w:val="false"/>
                <w:smallCaps w:val="false"/>
                <w:color w:val="000000"/>
                <w:sz w:val="20"/>
              </w:rPr>
              <w:t>☐</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58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Accelerated filer </w:t>
            </w:r>
            <w:r>
              <w:rPr>
                <w:rFonts w:ascii="Times New Roman;serif" w:hAnsi="Times New Roman;serif"/>
                <w:caps w:val="false"/>
                <w:smallCaps w:val="false"/>
                <w:color w:val="000000"/>
                <w:sz w:val="20"/>
              </w:rPr>
              <w:t>☐</w:t>
            </w:r>
          </w:p>
        </w:tc>
      </w:tr>
      <w:tr>
        <w:trPr/>
        <w:tc>
          <w:tcPr>
            <w:tcW w:w="214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58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 </w:t>
            </w:r>
          </w:p>
        </w:tc>
      </w:tr>
      <w:tr>
        <w:trPr/>
        <w:tc>
          <w:tcPr>
            <w:tcW w:w="214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Non-accelerated filer</w:t>
            </w:r>
            <w:r>
              <w:rPr>
                <w:rFonts w:ascii="Times New Roman;serif" w:hAnsi="Times New Roman;serif"/>
                <w:caps w:val="false"/>
                <w:smallCaps w:val="false"/>
                <w:color w:val="000000"/>
                <w:sz w:val="2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58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Smaller reporting company </w:t>
            </w:r>
            <w:r>
              <w:rPr>
                <w:rFonts w:ascii="Times New Roman;serif" w:hAnsi="Times New Roman;serif"/>
                <w:caps w:val="false"/>
                <w:smallCaps w:val="false"/>
                <w:color w:val="000000"/>
                <w:sz w:val="20"/>
              </w:rPr>
              <w:t>☑</w:t>
            </w:r>
          </w:p>
        </w:tc>
      </w:tr>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58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 </w:t>
            </w:r>
          </w:p>
        </w:tc>
      </w:tr>
      <w:tr>
        <w:trPr/>
        <w:tc>
          <w:tcPr>
            <w:tcW w:w="2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58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Emerging growth company </w:t>
            </w:r>
            <w:r>
              <w:rPr>
                <w:rFonts w:ascii="Times New Roman;serif" w:hAnsi="Times New Roman;serif"/>
                <w:caps w:val="false"/>
                <w:smallCaps w:val="false"/>
                <w:color w:val="000000"/>
                <w:sz w:val="20"/>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is a shell company (as defined in Rule 12b-2 of the Exchange Act.).  Yes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No </w:t>
      </w:r>
      <w:r>
        <w:rPr>
          <w:rFonts w:ascii="Times New Roman;serif" w:hAnsi="Times New Roman;serif"/>
          <w:caps w:val="false"/>
          <w:smallCaps w:val="false"/>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At May 4, 2026, there were 9,466,438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shares outstanding of the registrant’s common stock. </w:t>
      </w:r>
    </w:p>
    <w:p>
      <w:pPr>
        <w:pStyle w:val="TextBody"/>
        <w:bidi w:val="0"/>
        <w:spacing w:lineRule="auto" w:line="259"/>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w:t>
      </w:r>
      <w:bookmarkStart w:id="2" w:name="TableofContents"/>
      <w:bookmarkEnd w:id="2"/>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FORM 10-Q</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2026</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INDEX</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1"/>
        <w:gridCol w:w="717"/>
        <w:gridCol w:w="8204"/>
        <w:gridCol w:w="543"/>
      </w:tblGrid>
      <w:tr>
        <w:trPr/>
        <w:tc>
          <w:tcPr>
            <w:tcW w:w="74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82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74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717"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8204"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54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Page</w:t>
            </w:r>
          </w:p>
        </w:tc>
      </w:tr>
      <w:tr>
        <w:trPr/>
        <w:tc>
          <w:tcPr>
            <w:tcW w:w="74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717"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8204"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543" w:type="dxa"/>
            <w:tcBorders/>
            <w:vAlign w:val="center"/>
          </w:tcPr>
          <w:p>
            <w:pPr>
              <w:pStyle w:val="TableContents"/>
              <w:bidi w:val="0"/>
              <w:spacing w:before="0" w:after="283"/>
              <w:jc w:val="left"/>
              <w:rPr>
                <w:sz w:val="4"/>
                <w:szCs w:val="4"/>
              </w:rPr>
            </w:pPr>
            <w:r>
              <w:rPr>
                <w:sz w:val="4"/>
                <w:szCs w:val="4"/>
              </w:rPr>
            </w:r>
          </w:p>
        </w:tc>
      </w:tr>
      <w:tr>
        <w:trPr/>
        <w:tc>
          <w:tcPr>
            <w:tcW w:w="741" w:type="dxa"/>
            <w:tcBorders/>
            <w:shd w:fill="CCEEFF" w:val="clear"/>
            <w:vAlign w:val="center"/>
          </w:tcPr>
          <w:p>
            <w:pPr>
              <w:pStyle w:val="TableContents"/>
              <w:bidi w:val="0"/>
              <w:spacing w:lineRule="auto" w:line="259" w:before="0" w:after="283"/>
              <w:jc w:val="left"/>
              <w:rPr/>
            </w:pPr>
            <w:hyperlink w:anchor="Part1_FinancialInformation">
              <w:r>
                <w:rPr>
                  <w:rStyle w:val="InternetLink"/>
                  <w:rFonts w:ascii="Times New Roman;serif" w:hAnsi="Times New Roman;serif"/>
                  <w:b w:val="false"/>
                  <w:i w:val="false"/>
                  <w:caps w:val="false"/>
                  <w:smallCaps w:val="false"/>
                  <w:color w:val="0000FF"/>
                  <w:sz w:val="20"/>
                  <w:u w:val="single"/>
                </w:rPr>
                <w:t>PART I</w:t>
              </w:r>
            </w:hyperlink>
          </w:p>
        </w:tc>
        <w:tc>
          <w:tcPr>
            <w:tcW w:w="8921" w:type="dxa"/>
            <w:gridSpan w:val="2"/>
            <w:tcBorders/>
            <w:shd w:fill="CCEEFF" w:val="clear"/>
            <w:vAlign w:val="center"/>
          </w:tcPr>
          <w:p>
            <w:pPr>
              <w:pStyle w:val="TableContents"/>
              <w:bidi w:val="0"/>
              <w:spacing w:lineRule="auto" w:line="259" w:before="0" w:after="283"/>
              <w:jc w:val="left"/>
              <w:rPr/>
            </w:pPr>
            <w:hyperlink w:anchor="Part1_FinancialInformation">
              <w:r>
                <w:rPr>
                  <w:rStyle w:val="InternetLink"/>
                  <w:rFonts w:ascii="Times New Roman;serif" w:hAnsi="Times New Roman;serif"/>
                  <w:b w:val="false"/>
                  <w:i w:val="false"/>
                  <w:caps w:val="false"/>
                  <w:smallCaps w:val="false"/>
                  <w:strike w:val="false"/>
                  <w:dstrike w:val="false"/>
                  <w:color w:val="0000FF"/>
                  <w:sz w:val="20"/>
                  <w:u w:val="single"/>
                  <w:effect w:val="none"/>
                </w:rPr>
                <w:t>FINANCIAL INFORMATION</w:t>
              </w:r>
            </w:hyperlink>
          </w:p>
        </w:tc>
        <w:tc>
          <w:tcPr>
            <w:tcW w:w="54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74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717" w:type="dxa"/>
            <w:tcBorders/>
            <w:vAlign w:val="center"/>
          </w:tcPr>
          <w:p>
            <w:pPr>
              <w:pStyle w:val="TableContents"/>
              <w:bidi w:val="0"/>
              <w:spacing w:lineRule="auto" w:line="259" w:before="0" w:after="283"/>
              <w:jc w:val="left"/>
              <w:rPr/>
            </w:pPr>
            <w:hyperlink w:anchor="Item1_FinancialStatements">
              <w:r>
                <w:rPr>
                  <w:rStyle w:val="InternetLink"/>
                  <w:rFonts w:ascii="Times New Roman;serif" w:hAnsi="Times New Roman;serif"/>
                  <w:b w:val="false"/>
                  <w:i w:val="false"/>
                  <w:caps w:val="false"/>
                  <w:smallCaps w:val="false"/>
                  <w:strike w:val="false"/>
                  <w:dstrike w:val="false"/>
                  <w:color w:val="0000FF"/>
                  <w:sz w:val="20"/>
                  <w:u w:val="single"/>
                  <w:effect w:val="none"/>
                </w:rPr>
                <w:t>Item 1.</w:t>
              </w:r>
            </w:hyperlink>
          </w:p>
        </w:tc>
        <w:tc>
          <w:tcPr>
            <w:tcW w:w="8204" w:type="dxa"/>
            <w:tcBorders/>
            <w:vAlign w:val="center"/>
          </w:tcPr>
          <w:p>
            <w:pPr>
              <w:pStyle w:val="TableContents"/>
              <w:bidi w:val="0"/>
              <w:spacing w:lineRule="auto" w:line="259" w:before="0" w:after="283"/>
              <w:jc w:val="left"/>
              <w:rPr/>
            </w:pPr>
            <w:hyperlink w:anchor="Item1_FinancialStatements">
              <w:r>
                <w:rPr>
                  <w:rStyle w:val="InternetLink"/>
                  <w:rFonts w:ascii="Times New Roman;serif" w:hAnsi="Times New Roman;serif"/>
                  <w:b w:val="false"/>
                  <w:i w:val="false"/>
                  <w:caps w:val="false"/>
                  <w:smallCaps w:val="false"/>
                  <w:strike w:val="false"/>
                  <w:dstrike w:val="false"/>
                  <w:color w:val="0000FF"/>
                  <w:sz w:val="20"/>
                  <w:u w:val="single"/>
                  <w:effect w:val="none"/>
                </w:rPr>
                <w:t>Financial Statements (Unaudited)</w:t>
              </w:r>
            </w:hyperlink>
          </w:p>
        </w:tc>
        <w:tc>
          <w:tcPr>
            <w:tcW w:w="54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741"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8204" w:type="dxa"/>
            <w:tcBorders/>
            <w:shd w:fill="CCEEFF" w:val="clear"/>
            <w:vAlign w:val="center"/>
          </w:tcPr>
          <w:p>
            <w:pPr>
              <w:pStyle w:val="TableContents"/>
              <w:bidi w:val="0"/>
              <w:spacing w:lineRule="auto" w:line="259" w:before="0" w:after="283"/>
              <w:jc w:val="left"/>
              <w:rPr/>
            </w:pPr>
            <w:hyperlink w:anchor="BS">
              <w:r>
                <w:rPr>
                  <w:rStyle w:val="InternetLink"/>
                  <w:rFonts w:ascii="Times New Roman;serif" w:hAnsi="Times New Roman;serif"/>
                  <w:b w:val="false"/>
                  <w:i w:val="false"/>
                  <w:caps w:val="false"/>
                  <w:smallCaps w:val="false"/>
                  <w:strike w:val="false"/>
                  <w:dstrike w:val="false"/>
                  <w:color w:val="0000FF"/>
                  <w:sz w:val="20"/>
                  <w:u w:val="single"/>
                  <w:effect w:val="none"/>
                </w:rPr>
                <w:t>Condensed Consolidated Balance Sheets as of March 31, 2026 and June 30, 202</w:t>
              </w:r>
            </w:hyperlink>
            <w:r>
              <w:rPr>
                <w:rFonts w:ascii="Times New Roman;serif" w:hAnsi="Times New Roman;serif"/>
                <w:b w:val="false"/>
                <w:i w:val="false"/>
                <w:caps w:val="false"/>
                <w:smallCaps w:val="false"/>
                <w:color w:val="0000FF"/>
                <w:sz w:val="20"/>
                <w:u w:val="single"/>
              </w:rPr>
              <w:t>5</w:t>
            </w:r>
          </w:p>
        </w:tc>
        <w:tc>
          <w:tcPr>
            <w:tcW w:w="54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74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8204" w:type="dxa"/>
            <w:tcBorders/>
            <w:vAlign w:val="center"/>
          </w:tcPr>
          <w:p>
            <w:pPr>
              <w:pStyle w:val="TableContents"/>
              <w:bidi w:val="0"/>
              <w:spacing w:lineRule="auto" w:line="259" w:before="0" w:after="283"/>
              <w:jc w:val="left"/>
              <w:rPr/>
            </w:pPr>
            <w:hyperlink w:anchor="IS">
              <w:r>
                <w:rPr>
                  <w:rStyle w:val="InternetLink"/>
                  <w:rFonts w:ascii="Times New Roman;serif" w:hAnsi="Times New Roman;serif"/>
                  <w:b w:val="false"/>
                  <w:i w:val="false"/>
                  <w:caps w:val="false"/>
                  <w:smallCaps w:val="false"/>
                  <w:strike w:val="false"/>
                  <w:dstrike w:val="false"/>
                  <w:color w:val="0000FF"/>
                  <w:sz w:val="20"/>
                  <w:u w:val="single"/>
                  <w:effect w:val="none"/>
                </w:rPr>
                <w:t>Condensed Consolidated Statements of Operations for the Three and Nine Months Ended March 31, 2026 and 2025</w:t>
              </w:r>
            </w:hyperlink>
          </w:p>
        </w:tc>
        <w:tc>
          <w:tcPr>
            <w:tcW w:w="54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r>
        <w:trPr/>
        <w:tc>
          <w:tcPr>
            <w:tcW w:w="741"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8204" w:type="dxa"/>
            <w:tcBorders/>
            <w:shd w:fill="CCEEFF" w:val="clear"/>
            <w:vAlign w:val="center"/>
          </w:tcPr>
          <w:p>
            <w:pPr>
              <w:pStyle w:val="TableContents"/>
              <w:bidi w:val="0"/>
              <w:spacing w:lineRule="auto" w:line="259" w:before="0" w:after="283"/>
              <w:jc w:val="left"/>
              <w:rPr/>
            </w:pPr>
            <w:hyperlink w:anchor="OCI">
              <w:r>
                <w:rPr>
                  <w:rStyle w:val="InternetLink"/>
                  <w:rFonts w:ascii="Times New Roman;serif" w:hAnsi="Times New Roman;serif"/>
                  <w:b w:val="false"/>
                  <w:i w:val="false"/>
                  <w:caps w:val="false"/>
                  <w:smallCaps w:val="false"/>
                  <w:strike w:val="false"/>
                  <w:dstrike w:val="false"/>
                  <w:color w:val="0000FF"/>
                  <w:sz w:val="20"/>
                  <w:u w:val="single"/>
                  <w:effect w:val="none"/>
                </w:rPr>
                <w:t>Condensed Consolidated Statements of Comprehensive Loss for the Three and Nine Months Ended March 31, 2026 and 2025</w:t>
              </w:r>
            </w:hyperlink>
          </w:p>
        </w:tc>
        <w:tc>
          <w:tcPr>
            <w:tcW w:w="54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r>
      <w:tr>
        <w:trPr/>
        <w:tc>
          <w:tcPr>
            <w:tcW w:w="74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717"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8204" w:type="dxa"/>
            <w:tcBorders/>
            <w:vAlign w:val="center"/>
          </w:tcPr>
          <w:p>
            <w:pPr>
              <w:pStyle w:val="TableContents"/>
              <w:bidi w:val="0"/>
              <w:spacing w:lineRule="auto" w:line="259" w:before="0" w:after="283"/>
              <w:jc w:val="left"/>
              <w:rPr/>
            </w:pPr>
            <w:hyperlink w:anchor="CF">
              <w:r>
                <w:rPr>
                  <w:rStyle w:val="InternetLink"/>
                  <w:rFonts w:ascii="Times New Roman;serif" w:hAnsi="Times New Roman;serif"/>
                  <w:b w:val="false"/>
                  <w:i w:val="false"/>
                  <w:caps w:val="false"/>
                  <w:smallCaps w:val="false"/>
                  <w:strike w:val="false"/>
                  <w:dstrike w:val="false"/>
                  <w:color w:val="0000FF"/>
                  <w:sz w:val="20"/>
                  <w:u w:val="single"/>
                  <w:effect w:val="none"/>
                </w:rPr>
                <w:t>Condensed Consolidated Statements of Cash Flows for the Nine Months Ended March 31, 2026 and 2025</w:t>
              </w:r>
            </w:hyperlink>
          </w:p>
        </w:tc>
        <w:tc>
          <w:tcPr>
            <w:tcW w:w="54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r>
      <w:tr>
        <w:trPr/>
        <w:tc>
          <w:tcPr>
            <w:tcW w:w="741"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8204" w:type="dxa"/>
            <w:tcBorders/>
            <w:shd w:fill="CCEEFF" w:val="clear"/>
            <w:vAlign w:val="center"/>
          </w:tcPr>
          <w:p>
            <w:pPr>
              <w:pStyle w:val="TableContents"/>
              <w:bidi w:val="0"/>
              <w:spacing w:lineRule="auto" w:line="259" w:before="0" w:after="283"/>
              <w:jc w:val="left"/>
              <w:rPr/>
            </w:pPr>
            <w:hyperlink w:anchor="SE">
              <w:r>
                <w:rPr>
                  <w:rStyle w:val="InternetLink"/>
                  <w:rFonts w:ascii="Times New Roman;serif" w:hAnsi="Times New Roman;serif"/>
                  <w:b w:val="false"/>
                  <w:i w:val="false"/>
                  <w:caps w:val="false"/>
                  <w:smallCaps w:val="false"/>
                  <w:strike w:val="false"/>
                  <w:dstrike w:val="false"/>
                  <w:color w:val="0000FF"/>
                  <w:sz w:val="20"/>
                  <w:u w:val="single"/>
                  <w:effect w:val="none"/>
                </w:rPr>
                <w:t>Condensed Consolidated Statements of Stockholders’ Equity for the Three and Nine Months Ended March 31, 2026 and 2025</w:t>
              </w:r>
            </w:hyperlink>
          </w:p>
        </w:tc>
        <w:tc>
          <w:tcPr>
            <w:tcW w:w="54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tc>
      </w:tr>
      <w:tr>
        <w:trPr/>
        <w:tc>
          <w:tcPr>
            <w:tcW w:w="74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717"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8204" w:type="dxa"/>
            <w:tcBorders/>
            <w:vAlign w:val="center"/>
          </w:tcPr>
          <w:p>
            <w:pPr>
              <w:pStyle w:val="TableContents"/>
              <w:bidi w:val="0"/>
              <w:spacing w:lineRule="auto" w:line="259" w:before="0" w:after="283"/>
              <w:jc w:val="left"/>
              <w:rPr/>
            </w:pPr>
            <w:hyperlink w:anchor="Notes_FinancialStatements">
              <w:r>
                <w:rPr>
                  <w:rStyle w:val="InternetLink"/>
                  <w:rFonts w:ascii="Times New Roman;serif" w:hAnsi="Times New Roman;serif"/>
                  <w:b w:val="false"/>
                  <w:i w:val="false"/>
                  <w:caps w:val="false"/>
                  <w:smallCaps w:val="false"/>
                  <w:strike w:val="false"/>
                  <w:dstrike w:val="false"/>
                  <w:color w:val="0000FF"/>
                  <w:sz w:val="20"/>
                  <w:u w:val="single"/>
                  <w:effect w:val="none"/>
                </w:rPr>
                <w:t>Notes to Condensed Consolidated Financial Statements</w:t>
              </w:r>
            </w:hyperlink>
          </w:p>
        </w:tc>
        <w:tc>
          <w:tcPr>
            <w:tcW w:w="54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tc>
      </w:tr>
      <w:tr>
        <w:trPr/>
        <w:tc>
          <w:tcPr>
            <w:tcW w:w="741"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lineRule="auto" w:line="259" w:before="0" w:after="283"/>
              <w:jc w:val="left"/>
              <w:rPr/>
            </w:pPr>
            <w:hyperlink w:anchor="MDAA">
              <w:r>
                <w:rPr>
                  <w:rStyle w:val="InternetLink"/>
                  <w:rFonts w:ascii="Times New Roman;serif" w:hAnsi="Times New Roman;serif"/>
                  <w:b w:val="false"/>
                  <w:i w:val="false"/>
                  <w:caps w:val="false"/>
                  <w:smallCaps w:val="false"/>
                  <w:strike w:val="false"/>
                  <w:dstrike w:val="false"/>
                  <w:color w:val="0000FF"/>
                  <w:sz w:val="20"/>
                  <w:u w:val="single"/>
                  <w:effect w:val="none"/>
                </w:rPr>
                <w:t>Item 2.</w:t>
              </w:r>
            </w:hyperlink>
          </w:p>
        </w:tc>
        <w:tc>
          <w:tcPr>
            <w:tcW w:w="8204" w:type="dxa"/>
            <w:tcBorders/>
            <w:shd w:fill="CCEEFF" w:val="clear"/>
            <w:vAlign w:val="center"/>
          </w:tcPr>
          <w:p>
            <w:pPr>
              <w:pStyle w:val="TableContents"/>
              <w:bidi w:val="0"/>
              <w:spacing w:lineRule="auto" w:line="259" w:before="0" w:after="283"/>
              <w:jc w:val="left"/>
              <w:rPr/>
            </w:pPr>
            <w:hyperlink w:anchor="MDAA">
              <w:r>
                <w:rPr>
                  <w:rStyle w:val="InternetLink"/>
                  <w:rFonts w:ascii="Times New Roman;serif" w:hAnsi="Times New Roman;serif"/>
                  <w:b w:val="false"/>
                  <w:i w:val="false"/>
                  <w:caps w:val="false"/>
                  <w:smallCaps w:val="false"/>
                  <w:strike w:val="false"/>
                  <w:dstrike w:val="false"/>
                  <w:color w:val="0000FF"/>
                  <w:sz w:val="20"/>
                  <w:u w:val="single"/>
                  <w:effect w:val="none"/>
                </w:rPr>
                <w:t>Management's Discussion and Analysis of Financial Condition and Results of Operations</w:t>
              </w:r>
            </w:hyperlink>
          </w:p>
        </w:tc>
        <w:tc>
          <w:tcPr>
            <w:tcW w:w="54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tc>
      </w:tr>
      <w:tr>
        <w:trPr/>
        <w:tc>
          <w:tcPr>
            <w:tcW w:w="74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717" w:type="dxa"/>
            <w:tcBorders/>
            <w:vAlign w:val="center"/>
          </w:tcPr>
          <w:p>
            <w:pPr>
              <w:pStyle w:val="TableContents"/>
              <w:bidi w:val="0"/>
              <w:spacing w:lineRule="auto" w:line="259" w:before="0" w:after="283"/>
              <w:jc w:val="left"/>
              <w:rPr/>
            </w:pPr>
            <w:hyperlink w:anchor="Quantitative_Qualitative_Market_Risk">
              <w:r>
                <w:rPr>
                  <w:rStyle w:val="InternetLink"/>
                  <w:rFonts w:ascii="Times New Roman;serif" w:hAnsi="Times New Roman;serif"/>
                  <w:b w:val="false"/>
                  <w:i w:val="false"/>
                  <w:caps w:val="false"/>
                  <w:smallCaps w:val="false"/>
                  <w:strike w:val="false"/>
                  <w:dstrike w:val="false"/>
                  <w:color w:val="0000FF"/>
                  <w:sz w:val="20"/>
                  <w:u w:val="single"/>
                  <w:effect w:val="none"/>
                </w:rPr>
                <w:t>Item 3.</w:t>
              </w:r>
            </w:hyperlink>
          </w:p>
        </w:tc>
        <w:tc>
          <w:tcPr>
            <w:tcW w:w="8204" w:type="dxa"/>
            <w:tcBorders/>
            <w:vAlign w:val="center"/>
          </w:tcPr>
          <w:p>
            <w:pPr>
              <w:pStyle w:val="TableContents"/>
              <w:bidi w:val="0"/>
              <w:spacing w:lineRule="auto" w:line="259" w:before="0" w:after="283"/>
              <w:jc w:val="left"/>
              <w:rPr/>
            </w:pPr>
            <w:hyperlink w:anchor="Quantitative_Qualitative_Market_Risk">
              <w:r>
                <w:rPr>
                  <w:rStyle w:val="InternetLink"/>
                  <w:rFonts w:ascii="Times New Roman;serif" w:hAnsi="Times New Roman;serif"/>
                  <w:b w:val="false"/>
                  <w:i w:val="false"/>
                  <w:caps w:val="false"/>
                  <w:smallCaps w:val="false"/>
                  <w:strike w:val="false"/>
                  <w:dstrike w:val="false"/>
                  <w:color w:val="0000FF"/>
                  <w:sz w:val="20"/>
                  <w:u w:val="single"/>
                  <w:effect w:val="none"/>
                </w:rPr>
                <w:t>Quantitative and Qualitative Disclosures About Market Risk</w:t>
              </w:r>
            </w:hyperlink>
          </w:p>
        </w:tc>
        <w:tc>
          <w:tcPr>
            <w:tcW w:w="54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tc>
      </w:tr>
      <w:tr>
        <w:trPr/>
        <w:tc>
          <w:tcPr>
            <w:tcW w:w="741"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lineRule="auto" w:line="259" w:before="0" w:after="283"/>
              <w:jc w:val="left"/>
              <w:rPr/>
            </w:pPr>
            <w:hyperlink w:anchor="Controls_Procedures">
              <w:r>
                <w:rPr>
                  <w:rStyle w:val="InternetLink"/>
                  <w:rFonts w:ascii="Times New Roman;serif" w:hAnsi="Times New Roman;serif"/>
                  <w:b w:val="false"/>
                  <w:i w:val="false"/>
                  <w:caps w:val="false"/>
                  <w:smallCaps w:val="false"/>
                  <w:strike w:val="false"/>
                  <w:dstrike w:val="false"/>
                  <w:color w:val="0000FF"/>
                  <w:sz w:val="20"/>
                  <w:u w:val="single"/>
                  <w:effect w:val="none"/>
                </w:rPr>
                <w:t>Item 4.</w:t>
              </w:r>
            </w:hyperlink>
          </w:p>
        </w:tc>
        <w:tc>
          <w:tcPr>
            <w:tcW w:w="8204" w:type="dxa"/>
            <w:tcBorders/>
            <w:shd w:fill="CCEEFF" w:val="clear"/>
            <w:vAlign w:val="center"/>
          </w:tcPr>
          <w:p>
            <w:pPr>
              <w:pStyle w:val="TableContents"/>
              <w:bidi w:val="0"/>
              <w:spacing w:lineRule="auto" w:line="259" w:before="0" w:after="283"/>
              <w:jc w:val="left"/>
              <w:rPr/>
            </w:pPr>
            <w:hyperlink w:anchor="Controls_Procedures">
              <w:r>
                <w:rPr>
                  <w:rStyle w:val="InternetLink"/>
                  <w:rFonts w:ascii="Times New Roman;serif" w:hAnsi="Times New Roman;serif"/>
                  <w:b w:val="false"/>
                  <w:i w:val="false"/>
                  <w:caps w:val="false"/>
                  <w:smallCaps w:val="false"/>
                  <w:strike w:val="false"/>
                  <w:dstrike w:val="false"/>
                  <w:color w:val="0000FF"/>
                  <w:sz w:val="20"/>
                  <w:u w:val="single"/>
                  <w:effect w:val="none"/>
                </w:rPr>
                <w:t>Controls and Procedures</w:t>
              </w:r>
            </w:hyperlink>
          </w:p>
        </w:tc>
        <w:tc>
          <w:tcPr>
            <w:tcW w:w="54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tc>
      </w:tr>
      <w:tr>
        <w:trPr/>
        <w:tc>
          <w:tcPr>
            <w:tcW w:w="741" w:type="dxa"/>
            <w:tcBorders/>
            <w:vAlign w:val="center"/>
          </w:tcPr>
          <w:p>
            <w:pPr>
              <w:pStyle w:val="TableContents"/>
              <w:bidi w:val="0"/>
              <w:spacing w:lineRule="auto" w:line="259" w:before="0" w:after="283"/>
              <w:jc w:val="left"/>
              <w:rPr/>
            </w:pPr>
            <w:hyperlink w:anchor="Part2_OtherInformation">
              <w:r>
                <w:rPr>
                  <w:rStyle w:val="InternetLink"/>
                  <w:rFonts w:ascii="Times New Roman;serif" w:hAnsi="Times New Roman;serif"/>
                  <w:b w:val="false"/>
                  <w:i w:val="false"/>
                  <w:caps w:val="false"/>
                  <w:smallCaps w:val="false"/>
                  <w:strike w:val="false"/>
                  <w:dstrike w:val="false"/>
                  <w:color w:val="0000FF"/>
                  <w:sz w:val="20"/>
                  <w:u w:val="single"/>
                  <w:effect w:val="none"/>
                </w:rPr>
                <w:t>PART II</w:t>
              </w:r>
            </w:hyperlink>
          </w:p>
        </w:tc>
        <w:tc>
          <w:tcPr>
            <w:tcW w:w="8921" w:type="dxa"/>
            <w:gridSpan w:val="2"/>
            <w:tcBorders/>
            <w:vAlign w:val="center"/>
          </w:tcPr>
          <w:p>
            <w:pPr>
              <w:pStyle w:val="TableContents"/>
              <w:bidi w:val="0"/>
              <w:spacing w:lineRule="auto" w:line="259" w:before="0" w:after="283"/>
              <w:jc w:val="left"/>
              <w:rPr/>
            </w:pPr>
            <w:hyperlink w:anchor="Part2_OtherInformation">
              <w:r>
                <w:rPr>
                  <w:rStyle w:val="InternetLink"/>
                  <w:rFonts w:ascii="Times New Roman;serif" w:hAnsi="Times New Roman;serif"/>
                  <w:b w:val="false"/>
                  <w:i w:val="false"/>
                  <w:caps w:val="false"/>
                  <w:smallCaps w:val="false"/>
                  <w:strike w:val="false"/>
                  <w:dstrike w:val="false"/>
                  <w:color w:val="0000FF"/>
                  <w:sz w:val="20"/>
                  <w:u w:val="single"/>
                  <w:effect w:val="none"/>
                </w:rPr>
                <w:t>OTHER INFORMATION</w:t>
              </w:r>
            </w:hyperlink>
          </w:p>
        </w:tc>
        <w:tc>
          <w:tcPr>
            <w:tcW w:w="54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tc>
      </w:tr>
      <w:tr>
        <w:trPr/>
        <w:tc>
          <w:tcPr>
            <w:tcW w:w="741"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lineRule="auto" w:line="259" w:before="0" w:after="283"/>
              <w:jc w:val="left"/>
              <w:rPr/>
            </w:pPr>
            <w:hyperlink w:anchor="Legal_Proceedings">
              <w:r>
                <w:rPr>
                  <w:rStyle w:val="InternetLink"/>
                  <w:rFonts w:ascii="Times New Roman;serif" w:hAnsi="Times New Roman;serif"/>
                  <w:b w:val="false"/>
                  <w:i w:val="false"/>
                  <w:caps w:val="false"/>
                  <w:smallCaps w:val="false"/>
                  <w:strike w:val="false"/>
                  <w:dstrike w:val="false"/>
                  <w:color w:val="0000FF"/>
                  <w:sz w:val="20"/>
                  <w:u w:val="single"/>
                  <w:effect w:val="none"/>
                </w:rPr>
                <w:t>Item 1.</w:t>
              </w:r>
            </w:hyperlink>
          </w:p>
        </w:tc>
        <w:tc>
          <w:tcPr>
            <w:tcW w:w="8204" w:type="dxa"/>
            <w:tcBorders/>
            <w:shd w:fill="CCEEFF" w:val="clear"/>
            <w:vAlign w:val="center"/>
          </w:tcPr>
          <w:p>
            <w:pPr>
              <w:pStyle w:val="TableContents"/>
              <w:bidi w:val="0"/>
              <w:spacing w:lineRule="auto" w:line="259" w:before="0" w:after="283"/>
              <w:jc w:val="left"/>
              <w:rPr/>
            </w:pPr>
            <w:hyperlink w:anchor="Legal_Proceedings">
              <w:r>
                <w:rPr>
                  <w:rStyle w:val="InternetLink"/>
                  <w:rFonts w:ascii="Times New Roman;serif" w:hAnsi="Times New Roman;serif"/>
                  <w:b w:val="false"/>
                  <w:i w:val="false"/>
                  <w:caps w:val="false"/>
                  <w:smallCaps w:val="false"/>
                  <w:strike w:val="false"/>
                  <w:dstrike w:val="false"/>
                  <w:color w:val="0000FF"/>
                  <w:sz w:val="20"/>
                  <w:u w:val="single"/>
                  <w:effect w:val="none"/>
                </w:rPr>
                <w:t>Legal Proceedings</w:t>
              </w:r>
            </w:hyperlink>
          </w:p>
        </w:tc>
        <w:tc>
          <w:tcPr>
            <w:tcW w:w="54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tc>
      </w:tr>
      <w:tr>
        <w:trPr/>
        <w:tc>
          <w:tcPr>
            <w:tcW w:w="74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000FF"/>
                  <w:sz w:val="20"/>
                  <w:u w:val="single"/>
                  <w:effect w:val="none"/>
                </w:rPr>
                <w:t>Item 1A.</w:t>
              </w:r>
            </w:hyperlink>
          </w:p>
        </w:tc>
        <w:tc>
          <w:tcPr>
            <w:tcW w:w="8204" w:type="dxa"/>
            <w:tcBorders/>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000FF"/>
                  <w:sz w:val="20"/>
                  <w:u w:val="single"/>
                  <w:effect w:val="none"/>
                </w:rPr>
                <w:t>Risk Factors</w:t>
              </w:r>
            </w:hyperlink>
          </w:p>
        </w:tc>
        <w:tc>
          <w:tcPr>
            <w:tcW w:w="54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tc>
      </w:tr>
      <w:tr>
        <w:trPr/>
        <w:tc>
          <w:tcPr>
            <w:tcW w:w="741"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lineRule="auto" w:line="259" w:before="0" w:after="283"/>
              <w:jc w:val="left"/>
              <w:rPr/>
            </w:pPr>
            <w:hyperlink w:anchor="Unregisterd_Equity_Securities">
              <w:r>
                <w:rPr>
                  <w:rStyle w:val="InternetLink"/>
                  <w:rFonts w:ascii="Times New Roman;serif" w:hAnsi="Times New Roman;serif"/>
                  <w:b w:val="false"/>
                  <w:i w:val="false"/>
                  <w:caps w:val="false"/>
                  <w:smallCaps w:val="false"/>
                  <w:strike w:val="false"/>
                  <w:dstrike w:val="false"/>
                  <w:color w:val="0000FF"/>
                  <w:sz w:val="20"/>
                  <w:u w:val="single"/>
                  <w:effect w:val="none"/>
                </w:rPr>
                <w:t>Item 2.</w:t>
              </w:r>
            </w:hyperlink>
          </w:p>
        </w:tc>
        <w:tc>
          <w:tcPr>
            <w:tcW w:w="8204" w:type="dxa"/>
            <w:tcBorders/>
            <w:shd w:fill="CCEEFF" w:val="clear"/>
            <w:vAlign w:val="center"/>
          </w:tcPr>
          <w:p>
            <w:pPr>
              <w:pStyle w:val="TableContents"/>
              <w:bidi w:val="0"/>
              <w:spacing w:lineRule="auto" w:line="259" w:before="0" w:after="283"/>
              <w:jc w:val="left"/>
              <w:rPr/>
            </w:pPr>
            <w:hyperlink w:anchor="Unregisterd_Equity_Securities">
              <w:r>
                <w:rPr>
                  <w:rStyle w:val="InternetLink"/>
                  <w:rFonts w:ascii="Times New Roman;serif" w:hAnsi="Times New Roman;serif"/>
                  <w:b w:val="false"/>
                  <w:i w:val="false"/>
                  <w:caps w:val="false"/>
                  <w:smallCaps w:val="false"/>
                  <w:strike w:val="false"/>
                  <w:dstrike w:val="false"/>
                  <w:color w:val="0000FF"/>
                  <w:sz w:val="20"/>
                  <w:u w:val="single"/>
                  <w:effect w:val="none"/>
                </w:rPr>
                <w:t>Unregistered Sales of Equity Securities and Use of Proceeds</w:t>
              </w:r>
            </w:hyperlink>
          </w:p>
        </w:tc>
        <w:tc>
          <w:tcPr>
            <w:tcW w:w="54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tc>
      </w:tr>
      <w:tr>
        <w:trPr/>
        <w:tc>
          <w:tcPr>
            <w:tcW w:w="74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717" w:type="dxa"/>
            <w:tcBorders/>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000FF"/>
                  <w:sz w:val="20"/>
                  <w:u w:val="single"/>
                  <w:effect w:val="none"/>
                </w:rPr>
                <w:t>Item 6.</w:t>
              </w:r>
            </w:hyperlink>
          </w:p>
        </w:tc>
        <w:tc>
          <w:tcPr>
            <w:tcW w:w="8204" w:type="dxa"/>
            <w:tcBorders/>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000FF"/>
                  <w:sz w:val="20"/>
                  <w:u w:val="single"/>
                  <w:effect w:val="none"/>
                </w:rPr>
                <w:t>Exhibits</w:t>
              </w:r>
            </w:hyperlink>
          </w:p>
        </w:tc>
        <w:tc>
          <w:tcPr>
            <w:tcW w:w="54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tc>
      </w:tr>
    </w:tbl>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w:t>
      </w:r>
      <w:bookmarkStart w:id="3" w:name="Part1_FinancialInformation"/>
      <w:bookmarkEnd w:id="3"/>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FINANCIAL INFORMATION</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Item 1.    Financial Statements</w:t>
      </w:r>
      <w:bookmarkStart w:id="4" w:name="Item1_FinancialStatements"/>
      <w:bookmarkEnd w:id="4"/>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CONDENSED CONSOLIDATED BALANCE SHEETS</w:t>
      </w:r>
      <w:bookmarkStart w:id="5" w:name="BS"/>
      <w:bookmarkEnd w:id="5"/>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(Unaudited)</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94"/>
        <w:gridCol w:w="222"/>
        <w:gridCol w:w="1141"/>
        <w:gridCol w:w="109"/>
        <w:gridCol w:w="211"/>
        <w:gridCol w:w="1128"/>
      </w:tblGrid>
      <w:tr>
        <w:trPr/>
        <w:tc>
          <w:tcPr>
            <w:tcW w:w="739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7394" w:type="dxa"/>
            <w:tcBorders/>
            <w:vAlign w:val="center"/>
          </w:tcPr>
          <w:p>
            <w:pPr>
              <w:pStyle w:val="TableContents"/>
              <w:bidi w:val="0"/>
              <w:spacing w:before="0" w:after="283"/>
              <w:jc w:val="left"/>
              <w:rPr>
                <w:sz w:val="4"/>
                <w:szCs w:val="4"/>
              </w:rPr>
            </w:pPr>
            <w:r>
              <w:rPr>
                <w:sz w:val="4"/>
                <w:szCs w:val="4"/>
              </w:rPr>
            </w:r>
          </w:p>
        </w:tc>
        <w:tc>
          <w:tcPr>
            <w:tcW w:w="1363"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339"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June 30, 2025</w:t>
            </w:r>
          </w:p>
        </w:tc>
      </w:tr>
      <w:tr>
        <w:trPr/>
        <w:tc>
          <w:tcPr>
            <w:tcW w:w="73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ASSETS</w:t>
            </w:r>
          </w:p>
        </w:tc>
        <w:tc>
          <w:tcPr>
            <w:tcW w:w="22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3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Current assets:</w:t>
            </w:r>
          </w:p>
        </w:tc>
        <w:tc>
          <w:tcPr>
            <w:tcW w:w="22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Cash and cash equivalents</w:t>
            </w:r>
          </w:p>
        </w:tc>
        <w:tc>
          <w:tcPr>
            <w:tcW w:w="22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41"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1,901,466</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28"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2,807,797</w:t>
            </w:r>
            <w:r>
              <w:rPr>
                <w:rFonts w:ascii="Times New Roman;serif" w:hAnsi="Times New Roman;serif"/>
                <w:caps w:val="false"/>
                <w:smallCaps w:val="false"/>
                <w:sz w:val="19"/>
              </w:rPr>
              <w:t> </w:t>
            </w:r>
          </w:p>
        </w:tc>
      </w:tr>
      <w:tr>
        <w:trPr/>
        <w:tc>
          <w:tcPr>
            <w:tcW w:w="73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Available-for-sale investments, at fair value</w:t>
            </w:r>
          </w:p>
        </w:tc>
        <w:tc>
          <w:tcPr>
            <w:tcW w:w="22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16,956,081</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Short term investments held to maturity, at amortized cost</w:t>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8"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12,879,882</w:t>
            </w:r>
            <w:r>
              <w:rPr>
                <w:rFonts w:ascii="Times New Roman;serif" w:hAnsi="Times New Roman;serif"/>
                <w:caps w:val="false"/>
                <w:smallCaps w:val="false"/>
                <w:sz w:val="19"/>
              </w:rPr>
              <w:t> </w:t>
            </w:r>
          </w:p>
        </w:tc>
      </w:tr>
      <w:tr>
        <w:trPr/>
        <w:tc>
          <w:tcPr>
            <w:tcW w:w="7394" w:type="dxa"/>
            <w:tcBorders/>
            <w:vAlign w:val="center"/>
          </w:tcPr>
          <w:p>
            <w:pPr>
              <w:pStyle w:val="TableContents"/>
              <w:bidi w:val="0"/>
              <w:spacing w:lineRule="auto" w:line="259" w:before="0" w:after="283"/>
              <w:jc w:val="left"/>
              <w:rPr>
                <w:rFonts w:ascii="Times New Roman;serif" w:hAnsi="Times New Roman;serif"/>
                <w:sz w:val="19"/>
              </w:rPr>
            </w:pPr>
            <w:r>
              <w:rPr>
                <w:rFonts w:ascii="Times New Roman;serif" w:hAnsi="Times New Roman;serif"/>
                <w:b w:val="false"/>
                <w:i w:val="false"/>
                <w:caps w:val="false"/>
                <w:smallCaps w:val="false"/>
                <w:sz w:val="19"/>
              </w:rPr>
              <w:t>Accounts receivable, less allowance for credit losses of $2,043</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at March 31, 2026 and June 30, 2025</w:t>
            </w:r>
          </w:p>
        </w:tc>
        <w:tc>
          <w:tcPr>
            <w:tcW w:w="22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1,047,912</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1,135,672</w:t>
            </w:r>
            <w:r>
              <w:rPr>
                <w:rFonts w:ascii="Times New Roman;serif" w:hAnsi="Times New Roman;serif"/>
                <w:caps w:val="false"/>
                <w:smallCaps w:val="false"/>
                <w:sz w:val="19"/>
              </w:rPr>
              <w:t> </w:t>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Inventories</w:t>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4,760,003</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8"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4,885,067</w:t>
            </w:r>
            <w:r>
              <w:rPr>
                <w:rFonts w:ascii="Times New Roman;serif" w:hAnsi="Times New Roman;serif"/>
                <w:caps w:val="false"/>
                <w:smallCaps w:val="false"/>
                <w:sz w:val="19"/>
              </w:rPr>
              <w:t> </w:t>
            </w:r>
          </w:p>
        </w:tc>
      </w:tr>
      <w:tr>
        <w:trPr/>
        <w:tc>
          <w:tcPr>
            <w:tcW w:w="73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Prepaid expenses and other current assets</w:t>
            </w:r>
          </w:p>
        </w:tc>
        <w:tc>
          <w:tcPr>
            <w:tcW w:w="22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465,359</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738,330</w:t>
            </w:r>
            <w:r>
              <w:rPr>
                <w:rFonts w:ascii="Times New Roman;serif" w:hAnsi="Times New Roman;serif"/>
                <w:caps w:val="false"/>
                <w:smallCaps w:val="false"/>
                <w:sz w:val="19"/>
              </w:rPr>
              <w:t> </w:t>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Interest receivable</w:t>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130,042</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8"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121,178</w:t>
            </w:r>
            <w:r>
              <w:rPr>
                <w:rFonts w:ascii="Times New Roman;serif" w:hAnsi="Times New Roman;serif"/>
                <w:caps w:val="false"/>
                <w:smallCaps w:val="false"/>
                <w:sz w:val="19"/>
              </w:rPr>
              <w:t> </w:t>
            </w:r>
          </w:p>
        </w:tc>
      </w:tr>
      <w:tr>
        <w:trPr/>
        <w:tc>
          <w:tcPr>
            <w:tcW w:w="73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Income taxes receivable</w:t>
            </w:r>
          </w:p>
        </w:tc>
        <w:tc>
          <w:tcPr>
            <w:tcW w:w="22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30,298</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36,179</w:t>
            </w:r>
            <w:r>
              <w:rPr>
                <w:rFonts w:ascii="Times New Roman;serif" w:hAnsi="Times New Roman;serif"/>
                <w:caps w:val="false"/>
                <w:smallCaps w:val="false"/>
                <w:sz w:val="19"/>
              </w:rPr>
              <w:t> </w:t>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Total current assets</w:t>
            </w:r>
          </w:p>
        </w:tc>
        <w:tc>
          <w:tcPr>
            <w:tcW w:w="22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25,291,161</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2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22,604,105</w:t>
            </w:r>
            <w:r>
              <w:rPr>
                <w:rFonts w:ascii="Times New Roman;serif" w:hAnsi="Times New Roman;serif"/>
                <w:caps w:val="false"/>
                <w:smallCaps w:val="false"/>
                <w:sz w:val="19"/>
              </w:rPr>
              <w:t> </w:t>
            </w:r>
          </w:p>
        </w:tc>
      </w:tr>
      <w:tr>
        <w:trPr/>
        <w:tc>
          <w:tcPr>
            <w:tcW w:w="7394"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Equipment and leasehold improvements, net</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1,580,815</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1,476,898</w:t>
            </w:r>
            <w:r>
              <w:rPr>
                <w:rFonts w:ascii="Times New Roman;serif" w:hAnsi="Times New Roman;serif"/>
                <w:caps w:val="false"/>
                <w:smallCaps w:val="false"/>
                <w:sz w:val="19"/>
              </w:rPr>
              <w:t> </w:t>
            </w:r>
          </w:p>
        </w:tc>
      </w:tr>
      <w:tr>
        <w:trPr/>
        <w:tc>
          <w:tcPr>
            <w:tcW w:w="7394"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3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Other assets:</w:t>
            </w:r>
          </w:p>
        </w:tc>
        <w:tc>
          <w:tcPr>
            <w:tcW w:w="22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Long term investments held to maturity, at amortized cost</w:t>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8"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4,000,774</w:t>
            </w:r>
            <w:r>
              <w:rPr>
                <w:rFonts w:ascii="Times New Roman;serif" w:hAnsi="Times New Roman;serif"/>
                <w:caps w:val="false"/>
                <w:smallCaps w:val="false"/>
                <w:sz w:val="19"/>
              </w:rPr>
              <w:t> </w:t>
            </w:r>
          </w:p>
        </w:tc>
      </w:tr>
      <w:tr>
        <w:trPr/>
        <w:tc>
          <w:tcPr>
            <w:tcW w:w="73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Finance lease right-of-use asset</w:t>
            </w:r>
          </w:p>
        </w:tc>
        <w:tc>
          <w:tcPr>
            <w:tcW w:w="22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23,787</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Operating lease right-of-use asset</w:t>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2,324,147</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8"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2,518,088</w:t>
            </w:r>
            <w:r>
              <w:rPr>
                <w:rFonts w:ascii="Times New Roman;serif" w:hAnsi="Times New Roman;serif"/>
                <w:caps w:val="false"/>
                <w:smallCaps w:val="false"/>
                <w:sz w:val="19"/>
              </w:rPr>
              <w:t> </w:t>
            </w:r>
          </w:p>
        </w:tc>
      </w:tr>
      <w:tr>
        <w:trPr/>
        <w:tc>
          <w:tcPr>
            <w:tcW w:w="73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Cash surrender value of life insurance</w:t>
            </w:r>
          </w:p>
        </w:tc>
        <w:tc>
          <w:tcPr>
            <w:tcW w:w="22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6,838,742</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6,584,744</w:t>
            </w:r>
            <w:r>
              <w:rPr>
                <w:rFonts w:ascii="Times New Roman;serif" w:hAnsi="Times New Roman;serif"/>
                <w:caps w:val="false"/>
                <w:smallCaps w:val="false"/>
                <w:sz w:val="19"/>
              </w:rPr>
              <w:t> </w:t>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Total other assets</w:t>
            </w:r>
          </w:p>
        </w:tc>
        <w:tc>
          <w:tcPr>
            <w:tcW w:w="22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9,186,676</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2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13,103,606</w:t>
            </w:r>
            <w:r>
              <w:rPr>
                <w:rFonts w:ascii="Times New Roman;serif" w:hAnsi="Times New Roman;serif"/>
                <w:caps w:val="false"/>
                <w:smallCaps w:val="false"/>
                <w:sz w:val="19"/>
              </w:rPr>
              <w:t> </w:t>
            </w:r>
          </w:p>
        </w:tc>
      </w:tr>
      <w:tr>
        <w:trPr/>
        <w:tc>
          <w:tcPr>
            <w:tcW w:w="7394"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Total assets</w:t>
            </w:r>
          </w:p>
        </w:tc>
        <w:tc>
          <w:tcPr>
            <w:tcW w:w="222"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4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36,058,652</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28"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37,184,609</w:t>
            </w:r>
            <w:r>
              <w:rPr>
                <w:rFonts w:ascii="Times New Roman;serif" w:hAnsi="Times New Roman;serif"/>
                <w:caps w:val="false"/>
                <w:smallCaps w:val="false"/>
                <w:sz w:val="19"/>
              </w:rPr>
              <w:t> </w:t>
            </w:r>
          </w:p>
        </w:tc>
      </w:tr>
      <w:tr>
        <w:trPr/>
        <w:tc>
          <w:tcPr>
            <w:tcW w:w="7394" w:type="dxa"/>
            <w:tcBorders/>
            <w:vAlign w:val="center"/>
          </w:tcPr>
          <w:p>
            <w:pPr>
              <w:pStyle w:val="TableContents"/>
              <w:bidi w:val="0"/>
              <w:spacing w:before="0" w:after="283"/>
              <w:jc w:val="left"/>
              <w:rPr>
                <w:sz w:val="4"/>
                <w:szCs w:val="4"/>
              </w:rPr>
            </w:pPr>
            <w:r>
              <w:rPr>
                <w:sz w:val="4"/>
                <w:szCs w:val="4"/>
              </w:rPr>
            </w:r>
          </w:p>
        </w:tc>
        <w:tc>
          <w:tcPr>
            <w:tcW w:w="22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3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LIABILITIES AND STOCKHOLDERS' EQUITY</w:t>
            </w:r>
          </w:p>
        </w:tc>
        <w:tc>
          <w:tcPr>
            <w:tcW w:w="22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73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Current liabilities:</w:t>
            </w:r>
          </w:p>
        </w:tc>
        <w:tc>
          <w:tcPr>
            <w:tcW w:w="22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Accounts payable</w:t>
            </w:r>
          </w:p>
        </w:tc>
        <w:tc>
          <w:tcPr>
            <w:tcW w:w="22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41"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478,558</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28"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819,330</w:t>
            </w:r>
            <w:r>
              <w:rPr>
                <w:rFonts w:ascii="Times New Roman;serif" w:hAnsi="Times New Roman;serif"/>
                <w:caps w:val="false"/>
                <w:smallCaps w:val="false"/>
                <w:sz w:val="19"/>
              </w:rPr>
              <w:t> </w:t>
            </w:r>
          </w:p>
        </w:tc>
      </w:tr>
      <w:tr>
        <w:trPr/>
        <w:tc>
          <w:tcPr>
            <w:tcW w:w="73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Accrued liabilities</w:t>
            </w:r>
          </w:p>
        </w:tc>
        <w:tc>
          <w:tcPr>
            <w:tcW w:w="22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615,911</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582,140</w:t>
            </w:r>
            <w:r>
              <w:rPr>
                <w:rFonts w:ascii="Times New Roman;serif" w:hAnsi="Times New Roman;serif"/>
                <w:caps w:val="false"/>
                <w:smallCaps w:val="false"/>
                <w:sz w:val="19"/>
              </w:rPr>
              <w:t> </w:t>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Deferred revenue</w:t>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241,519</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8"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242,644</w:t>
            </w:r>
            <w:r>
              <w:rPr>
                <w:rFonts w:ascii="Times New Roman;serif" w:hAnsi="Times New Roman;serif"/>
                <w:caps w:val="false"/>
                <w:smallCaps w:val="false"/>
                <w:sz w:val="19"/>
              </w:rPr>
              <w:t> </w:t>
            </w:r>
          </w:p>
        </w:tc>
      </w:tr>
      <w:tr>
        <w:trPr/>
        <w:tc>
          <w:tcPr>
            <w:tcW w:w="73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Finance lease liability</w:t>
            </w:r>
          </w:p>
        </w:tc>
        <w:tc>
          <w:tcPr>
            <w:tcW w:w="22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10,349</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Operating lease liability</w:t>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262,700</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8"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252,579</w:t>
            </w:r>
            <w:r>
              <w:rPr>
                <w:rFonts w:ascii="Times New Roman;serif" w:hAnsi="Times New Roman;serif"/>
                <w:caps w:val="false"/>
                <w:smallCaps w:val="false"/>
                <w:sz w:val="19"/>
              </w:rPr>
              <w:t> </w:t>
            </w:r>
          </w:p>
        </w:tc>
      </w:tr>
      <w:tr>
        <w:trPr/>
        <w:tc>
          <w:tcPr>
            <w:tcW w:w="73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Income taxes payable</w:t>
            </w:r>
          </w:p>
        </w:tc>
        <w:tc>
          <w:tcPr>
            <w:tcW w:w="22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37,673</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42,958</w:t>
            </w:r>
            <w:r>
              <w:rPr>
                <w:rFonts w:ascii="Times New Roman;serif" w:hAnsi="Times New Roman;serif"/>
                <w:caps w:val="false"/>
                <w:smallCaps w:val="false"/>
                <w:sz w:val="19"/>
              </w:rPr>
              <w:t> </w:t>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Total current liabilities</w:t>
            </w:r>
          </w:p>
        </w:tc>
        <w:tc>
          <w:tcPr>
            <w:tcW w:w="22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1,646,710</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2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1,939,651</w:t>
            </w:r>
            <w:r>
              <w:rPr>
                <w:rFonts w:ascii="Times New Roman;serif" w:hAnsi="Times New Roman;serif"/>
                <w:caps w:val="false"/>
                <w:smallCaps w:val="false"/>
                <w:sz w:val="19"/>
              </w:rPr>
              <w:t> </w:t>
            </w:r>
          </w:p>
        </w:tc>
      </w:tr>
      <w:tr>
        <w:trPr/>
        <w:tc>
          <w:tcPr>
            <w:tcW w:w="7394"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3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Long-term liabilities:</w:t>
            </w:r>
          </w:p>
        </w:tc>
        <w:tc>
          <w:tcPr>
            <w:tcW w:w="22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Deferred compensation</w:t>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2,446,100</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8"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2,226,454</w:t>
            </w:r>
            <w:r>
              <w:rPr>
                <w:rFonts w:ascii="Times New Roman;serif" w:hAnsi="Times New Roman;serif"/>
                <w:caps w:val="false"/>
                <w:smallCaps w:val="false"/>
                <w:sz w:val="19"/>
              </w:rPr>
              <w:t> </w:t>
            </w:r>
          </w:p>
        </w:tc>
      </w:tr>
      <w:tr>
        <w:trPr/>
        <w:tc>
          <w:tcPr>
            <w:tcW w:w="73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Deferred revenue</w:t>
            </w:r>
          </w:p>
        </w:tc>
        <w:tc>
          <w:tcPr>
            <w:tcW w:w="22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133,269</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119,314</w:t>
            </w:r>
            <w:r>
              <w:rPr>
                <w:rFonts w:ascii="Times New Roman;serif" w:hAnsi="Times New Roman;serif"/>
                <w:caps w:val="false"/>
                <w:smallCaps w:val="false"/>
                <w:sz w:val="19"/>
              </w:rPr>
              <w:t> </w:t>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Finance lease liability</w:t>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14,113</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73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Operating lease liability</w:t>
            </w:r>
          </w:p>
        </w:tc>
        <w:tc>
          <w:tcPr>
            <w:tcW w:w="22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2,090,845</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2,289,155</w:t>
            </w:r>
            <w:r>
              <w:rPr>
                <w:rFonts w:ascii="Times New Roman;serif" w:hAnsi="Times New Roman;serif"/>
                <w:caps w:val="false"/>
                <w:smallCaps w:val="false"/>
                <w:sz w:val="19"/>
              </w:rPr>
              <w:t> </w:t>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Total long-term liabilities</w:t>
            </w:r>
          </w:p>
        </w:tc>
        <w:tc>
          <w:tcPr>
            <w:tcW w:w="22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4,684,327</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2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4,634,923</w:t>
            </w:r>
            <w:r>
              <w:rPr>
                <w:rFonts w:ascii="Times New Roman;serif" w:hAnsi="Times New Roman;serif"/>
                <w:caps w:val="false"/>
                <w:smallCaps w:val="false"/>
                <w:sz w:val="19"/>
              </w:rPr>
              <w:t> </w:t>
            </w:r>
          </w:p>
        </w:tc>
      </w:tr>
      <w:tr>
        <w:trPr/>
        <w:tc>
          <w:tcPr>
            <w:tcW w:w="7394"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Total liabilities</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6,331,037</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6,574,574</w:t>
            </w:r>
            <w:r>
              <w:rPr>
                <w:rFonts w:ascii="Times New Roman;serif" w:hAnsi="Times New Roman;serif"/>
                <w:caps w:val="false"/>
                <w:smallCaps w:val="false"/>
                <w:sz w:val="19"/>
              </w:rPr>
              <w:t> </w:t>
            </w:r>
          </w:p>
        </w:tc>
      </w:tr>
      <w:tr>
        <w:trPr/>
        <w:tc>
          <w:tcPr>
            <w:tcW w:w="7394"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3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Stockholders' equity:</w:t>
            </w:r>
          </w:p>
        </w:tc>
        <w:tc>
          <w:tcPr>
            <w:tcW w:w="22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sz w:val="19"/>
              </w:rPr>
            </w:pPr>
            <w:r>
              <w:rPr>
                <w:rFonts w:ascii="Times New Roman;serif" w:hAnsi="Times New Roman;serif"/>
                <w:b w:val="false"/>
                <w:i w:val="false"/>
                <w:caps w:val="false"/>
                <w:smallCaps w:val="false"/>
                <w:sz w:val="19"/>
              </w:rPr>
              <w:t>Common stock, $0.005</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par value, authorized 20,000,000</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shares; issued and outstanding 9,466,438</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at March 31, 2026 and 9,456,438</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 xml:space="preserve">at June 30, 2025, respectively </w:t>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47,332</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8"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47,282</w:t>
            </w:r>
            <w:r>
              <w:rPr>
                <w:rFonts w:ascii="Times New Roman;serif" w:hAnsi="Times New Roman;serif"/>
                <w:caps w:val="false"/>
                <w:smallCaps w:val="false"/>
                <w:sz w:val="19"/>
              </w:rPr>
              <w:t> </w:t>
            </w:r>
          </w:p>
        </w:tc>
      </w:tr>
      <w:tr>
        <w:trPr/>
        <w:tc>
          <w:tcPr>
            <w:tcW w:w="73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Paid in capital</w:t>
            </w:r>
          </w:p>
        </w:tc>
        <w:tc>
          <w:tcPr>
            <w:tcW w:w="22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13,765,141</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13,741,384</w:t>
            </w:r>
            <w:r>
              <w:rPr>
                <w:rFonts w:ascii="Times New Roman;serif" w:hAnsi="Times New Roman;serif"/>
                <w:caps w:val="false"/>
                <w:smallCaps w:val="false"/>
                <w:sz w:val="19"/>
              </w:rPr>
              <w:t> </w:t>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Accumulated other comprehensive loss</w:t>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(37,962)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73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Retained earnings</w:t>
            </w:r>
          </w:p>
        </w:tc>
        <w:tc>
          <w:tcPr>
            <w:tcW w:w="22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15,953,104</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16,821,369</w:t>
            </w:r>
            <w:r>
              <w:rPr>
                <w:rFonts w:ascii="Times New Roman;serif" w:hAnsi="Times New Roman;serif"/>
                <w:caps w:val="false"/>
                <w:smallCaps w:val="false"/>
                <w:sz w:val="19"/>
              </w:rPr>
              <w:t> </w:t>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Total stockholders' equity</w:t>
            </w:r>
          </w:p>
        </w:tc>
        <w:tc>
          <w:tcPr>
            <w:tcW w:w="22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29,727,615</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2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30,610,035</w:t>
            </w:r>
            <w:r>
              <w:rPr>
                <w:rFonts w:ascii="Times New Roman;serif" w:hAnsi="Times New Roman;serif"/>
                <w:caps w:val="false"/>
                <w:smallCaps w:val="false"/>
                <w:sz w:val="19"/>
              </w:rPr>
              <w:t> </w:t>
            </w:r>
          </w:p>
        </w:tc>
      </w:tr>
      <w:tr>
        <w:trPr/>
        <w:tc>
          <w:tcPr>
            <w:tcW w:w="7394"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3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Total liabilities and stockholders' equity</w:t>
            </w:r>
          </w:p>
        </w:tc>
        <w:tc>
          <w:tcPr>
            <w:tcW w:w="222"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4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36,058,652</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28"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37,184,609</w:t>
            </w:r>
            <w:r>
              <w:rPr>
                <w:rFonts w:ascii="Times New Roman;serif" w:hAnsi="Times New Roman;serif"/>
                <w:caps w:val="false"/>
                <w:smallCaps w:val="false"/>
                <w:sz w:val="19"/>
              </w:rPr>
              <w:t> </w:t>
            </w:r>
          </w:p>
        </w:tc>
      </w:tr>
    </w:tbl>
    <w:p>
      <w:pPr>
        <w:pStyle w:val="TextBody"/>
        <w:bidi w:val="0"/>
        <w:spacing w:lineRule="auto" w:line="259"/>
        <w:rPr>
          <w:caps w:val="false"/>
          <w:smallCaps w:val="false"/>
        </w:rPr>
      </w:pPr>
      <w:r>
        <w:rPr>
          <w:caps w:val="false"/>
          <w:smallCaps w:val="false"/>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18"/>
        </w:rPr>
        <w:t>The accompanying notes are an integral part of these condensed consolidated financial statements.</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CONDENSED CONSOLIDATED STATEMENTS OF OPERATIONS (Unaudited)</w:t>
      </w:r>
      <w:bookmarkStart w:id="6" w:name="IS"/>
      <w:bookmarkEnd w:id="6"/>
    </w:p>
    <w:p>
      <w:pPr>
        <w:pStyle w:val="TextBody"/>
        <w:bidi w:val="0"/>
        <w:spacing w:lineRule="auto" w:line="259"/>
        <w:rPr>
          <w:caps w:val="false"/>
          <w:smallCaps w:val="false"/>
        </w:rPr>
      </w:pPr>
      <w:r>
        <w:rPr>
          <w:caps w:val="false"/>
          <w:smallCaps w:val="false"/>
        </w:rPr>
        <w:t> </w:t>
      </w:r>
    </w:p>
    <w:tbl>
      <w:tblPr>
        <w:tblW w:w="8916" w:type="dxa"/>
        <w:jc w:val="left"/>
        <w:tblInd w:w="0" w:type="dxa"/>
        <w:tblLayout w:type="fixed"/>
        <w:tblCellMar>
          <w:top w:w="0" w:type="dxa"/>
          <w:left w:w="0" w:type="dxa"/>
          <w:bottom w:w="0" w:type="dxa"/>
          <w:right w:w="0" w:type="dxa"/>
        </w:tblCellMar>
      </w:tblPr>
      <w:tblGrid>
        <w:gridCol w:w="3736"/>
        <w:gridCol w:w="211"/>
        <w:gridCol w:w="931"/>
        <w:gridCol w:w="109"/>
        <w:gridCol w:w="211"/>
        <w:gridCol w:w="931"/>
        <w:gridCol w:w="109"/>
        <w:gridCol w:w="211"/>
        <w:gridCol w:w="1051"/>
        <w:gridCol w:w="109"/>
        <w:gridCol w:w="211"/>
        <w:gridCol w:w="1096"/>
      </w:tblGrid>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jc w:val="left"/>
              <w:rPr>
                <w:sz w:val="4"/>
                <w:szCs w:val="4"/>
              </w:rPr>
            </w:pPr>
            <w:r>
              <w:rPr>
                <w:sz w:val="4"/>
                <w:szCs w:val="4"/>
              </w:rPr>
            </w:r>
          </w:p>
        </w:tc>
        <w:tc>
          <w:tcPr>
            <w:tcW w:w="239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67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Nine Months Ended</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39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267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March 31</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2,824,763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2,781,006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9,756,920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9,539,960</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of goods sold</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1,822,002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1,696,334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6,294,661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5,877,405</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w:t>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1,002,761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1,084,672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3,462,259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3,662,555</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1,721,892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1,603,678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5,242,008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4,960,478</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from operations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(719,131)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(519,006)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(1,779,749)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(1,297,923)</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income (expense):</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income</w:t>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174,875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208,175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670,487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667,219</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income</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other income, net</w:t>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174,369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208,175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918,829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667,219</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before income tax provision</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(544,762)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(310,831)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(860,920)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(630,704)</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provision</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11,431</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(546,587)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(316,742)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(868,265)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(642,135)</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per common share:</w:t>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w:t>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(0.07)</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(0.07)</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Weighted-average number of shares:</w:t>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9,466,438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9,375,795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9,461,730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9,346,952</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3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9,466,438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3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9,375,795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9,461,730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9,346,952</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condensed consolidated financial statements. </w:t>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CO</w:t>
      </w:r>
      <w:bookmarkStart w:id="7" w:name="OCI"/>
      <w:bookmarkEnd w:id="7"/>
      <w:r>
        <w:rPr>
          <w:rFonts w:ascii="Times New Roman;serif" w:hAnsi="Times New Roman;serif"/>
          <w:b w:val="false"/>
          <w:i w:val="false"/>
          <w:caps w:val="false"/>
          <w:smallCaps w:val="false"/>
          <w:sz w:val="20"/>
        </w:rPr>
        <w:t>NDENSED CONSOLIDATED STATEMENTS OF COMPREHENSIVE LOSS (Unaudited)</w:t>
      </w:r>
    </w:p>
    <w:tbl>
      <w:tblPr>
        <w:tblW w:w="8706" w:type="dxa"/>
        <w:jc w:val="left"/>
        <w:tblInd w:w="0" w:type="dxa"/>
        <w:tblLayout w:type="fixed"/>
        <w:tblCellMar>
          <w:top w:w="0" w:type="dxa"/>
          <w:left w:w="0" w:type="dxa"/>
          <w:bottom w:w="0" w:type="dxa"/>
          <w:right w:w="0" w:type="dxa"/>
        </w:tblCellMar>
      </w:tblPr>
      <w:tblGrid>
        <w:gridCol w:w="3886"/>
        <w:gridCol w:w="211"/>
        <w:gridCol w:w="901"/>
        <w:gridCol w:w="109"/>
        <w:gridCol w:w="211"/>
        <w:gridCol w:w="901"/>
        <w:gridCol w:w="109"/>
        <w:gridCol w:w="211"/>
        <w:gridCol w:w="901"/>
        <w:gridCol w:w="109"/>
        <w:gridCol w:w="211"/>
        <w:gridCol w:w="946"/>
      </w:tblGrid>
      <w:tr>
        <w:trPr/>
        <w:tc>
          <w:tcPr>
            <w:tcW w:w="3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886" w:type="dxa"/>
            <w:tcBorders/>
            <w:vAlign w:val="center"/>
          </w:tcPr>
          <w:p>
            <w:pPr>
              <w:pStyle w:val="TableContents"/>
              <w:bidi w:val="0"/>
              <w:spacing w:before="0" w:after="283"/>
              <w:jc w:val="left"/>
              <w:rPr>
                <w:sz w:val="4"/>
                <w:szCs w:val="4"/>
              </w:rPr>
            </w:pPr>
            <w:r>
              <w:rPr>
                <w:sz w:val="4"/>
                <w:szCs w:val="4"/>
              </w:rPr>
            </w:r>
          </w:p>
        </w:tc>
        <w:tc>
          <w:tcPr>
            <w:tcW w:w="233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37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Nine Months Ended</w:t>
            </w:r>
          </w:p>
        </w:tc>
      </w:tr>
      <w:tr>
        <w:trPr/>
        <w:tc>
          <w:tcPr>
            <w:tcW w:w="3886" w:type="dxa"/>
            <w:tcBorders/>
            <w:vAlign w:val="center"/>
          </w:tcPr>
          <w:p>
            <w:pPr>
              <w:pStyle w:val="TableContents"/>
              <w:bidi w:val="0"/>
              <w:spacing w:before="0" w:after="283"/>
              <w:jc w:val="left"/>
              <w:rPr>
                <w:sz w:val="4"/>
                <w:szCs w:val="4"/>
              </w:rPr>
            </w:pPr>
            <w:r>
              <w:rPr>
                <w:sz w:val="4"/>
                <w:szCs w:val="4"/>
              </w:rPr>
            </w:r>
          </w:p>
        </w:tc>
        <w:tc>
          <w:tcPr>
            <w:tcW w:w="233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237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March 31</w:t>
            </w:r>
          </w:p>
        </w:tc>
      </w:tr>
      <w:tr>
        <w:trPr/>
        <w:tc>
          <w:tcPr>
            <w:tcW w:w="3886" w:type="dxa"/>
            <w:tcBorders/>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38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(546,587)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(316,742)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(868,265)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(642,135)</w:t>
            </w:r>
          </w:p>
        </w:tc>
      </w:tr>
      <w:tr>
        <w:trPr/>
        <w:tc>
          <w:tcPr>
            <w:tcW w:w="38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comprehensive loss:</w:t>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Unrealized loss on available-for-sale securities</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(37,962)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(37,962)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38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comprehensive loss</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(584,549)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(316,742)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(906,227)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(642,135)</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CONDENSED CONSOLIDATED STATEMENTS OF CASH FLOWS (Unaudited)</w:t>
      </w:r>
      <w:bookmarkStart w:id="8" w:name="CF"/>
      <w:bookmarkEnd w:id="8"/>
    </w:p>
    <w:p>
      <w:pPr>
        <w:pStyle w:val="TextBody"/>
        <w:bidi w:val="0"/>
        <w:spacing w:lineRule="auto" w:line="259"/>
        <w:rPr>
          <w:caps w:val="false"/>
          <w:smallCaps w:val="false"/>
        </w:rPr>
      </w:pPr>
      <w:r>
        <w:rPr>
          <w:caps w:val="false"/>
          <w:smallCaps w:val="false"/>
        </w:rPr>
        <w:t> </w:t>
      </w:r>
    </w:p>
    <w:tbl>
      <w:tblPr>
        <w:tblW w:w="9864" w:type="dxa"/>
        <w:jc w:val="left"/>
        <w:tblInd w:w="0" w:type="dxa"/>
        <w:tblLayout w:type="fixed"/>
        <w:tblCellMar>
          <w:top w:w="0" w:type="dxa"/>
          <w:left w:w="0" w:type="dxa"/>
          <w:bottom w:w="0" w:type="dxa"/>
          <w:right w:w="0" w:type="dxa"/>
        </w:tblCellMar>
      </w:tblPr>
      <w:tblGrid>
        <w:gridCol w:w="7186"/>
        <w:gridCol w:w="211"/>
        <w:gridCol w:w="1051"/>
        <w:gridCol w:w="109"/>
        <w:gridCol w:w="211"/>
        <w:gridCol w:w="1096"/>
      </w:tblGrid>
      <w:tr>
        <w:trPr/>
        <w:tc>
          <w:tcPr>
            <w:tcW w:w="7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7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7186" w:type="dxa"/>
            <w:tcBorders/>
            <w:vAlign w:val="center"/>
          </w:tcPr>
          <w:p>
            <w:pPr>
              <w:pStyle w:val="TableContents"/>
              <w:bidi w:val="0"/>
              <w:spacing w:before="0" w:after="283"/>
              <w:jc w:val="left"/>
              <w:rPr>
                <w:sz w:val="4"/>
                <w:szCs w:val="4"/>
              </w:rPr>
            </w:pPr>
            <w:r>
              <w:rPr>
                <w:sz w:val="4"/>
                <w:szCs w:val="4"/>
              </w:rPr>
            </w:r>
          </w:p>
        </w:tc>
        <w:tc>
          <w:tcPr>
            <w:tcW w:w="267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Nine Months Ended</w:t>
            </w:r>
          </w:p>
        </w:tc>
      </w:tr>
      <w:tr>
        <w:trPr/>
        <w:tc>
          <w:tcPr>
            <w:tcW w:w="7186" w:type="dxa"/>
            <w:tcBorders/>
            <w:vAlign w:val="center"/>
          </w:tcPr>
          <w:p>
            <w:pPr>
              <w:pStyle w:val="TableContents"/>
              <w:bidi w:val="0"/>
              <w:spacing w:before="0" w:after="283"/>
              <w:jc w:val="left"/>
              <w:rPr>
                <w:sz w:val="4"/>
                <w:szCs w:val="4"/>
              </w:rPr>
            </w:pPr>
            <w:r>
              <w:rPr>
                <w:sz w:val="4"/>
                <w:szCs w:val="4"/>
              </w:rPr>
            </w:r>
          </w:p>
        </w:tc>
        <w:tc>
          <w:tcPr>
            <w:tcW w:w="267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March 31</w:t>
            </w:r>
          </w:p>
        </w:tc>
      </w:tr>
      <w:tr>
        <w:trPr/>
        <w:tc>
          <w:tcPr>
            <w:tcW w:w="7186" w:type="dxa"/>
            <w:tcBorders/>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activities:</w:t>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(868,265)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(642,135)</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Adjustments to reconcile net loss to net cash provided by (used in) operating activities: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Provision for credit losses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Depreciation of equipment and leasehold improvements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212,568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172,356</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accretion of discount on treasury securities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(141,818)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(192,820)</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Amortization of finance lease right-of-use asset</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Noncash operating lease expense</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5,753</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 expense</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2,707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25,689</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Change in cash surrender value of life insurance</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(202,697)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(173,807)</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Provision for deferred compensation</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219,646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148,680</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changes in operating assets and liabilities: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before="0" w:after="283"/>
              <w:jc w:val="left"/>
              <w:rPr>
                <w:sz w:val="4"/>
                <w:szCs w:val="4"/>
              </w:rPr>
            </w:pPr>
            <w:r>
              <w:rPr>
                <w:sz w:val="4"/>
                <w:szCs w:val="4"/>
              </w:rPr>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Accounts receivable</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87,760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156,243</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125,064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77,297</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expenses and other current assets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272,971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127,201</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receivable</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23,443</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taxes receivable</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(375)</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taxes payable</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(1,558)</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Accounts payable</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(340,772)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143,417</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liabilities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33,771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422,863</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revenue</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12,830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27,621</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operating activities</w:t>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(580,822)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319,989</w:t>
            </w:r>
          </w:p>
        </w:tc>
      </w:tr>
      <w:tr>
        <w:trPr/>
        <w:tc>
          <w:tcPr>
            <w:tcW w:w="718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Investing activities: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Purchase of equipment and leasehold improvements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(316,485)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(483,767)</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Life insurance premiums paid</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(51,301)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(70,577)</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Proceeds from the maturity of treasury securities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9,035,000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9,179,000</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Purchases of treasury securities</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(9,006,569)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(8,999,279)</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investing activities</w:t>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(339,355)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(374,623)</w:t>
            </w:r>
          </w:p>
        </w:tc>
      </w:tr>
      <w:tr>
        <w:trPr/>
        <w:tc>
          <w:tcPr>
            <w:tcW w:w="718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Financing activities: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Proceeds from exercise of stock options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152,445</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Principal payments on finance lease obligations</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financing activities</w:t>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13,846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152,445</w:t>
            </w:r>
          </w:p>
        </w:tc>
      </w:tr>
      <w:tr>
        <w:trPr/>
        <w:tc>
          <w:tcPr>
            <w:tcW w:w="718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increase (decrease) in cash and cash equivalents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(906,331)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97,811</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 at beginning of period</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2,807,797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2,837,081</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 at end of period</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1,901,466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2,934,892</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tbl>
      <w:tblPr>
        <w:tblW w:w="7539" w:type="dxa"/>
        <w:jc w:val="left"/>
        <w:tblInd w:w="0" w:type="dxa"/>
        <w:tblLayout w:type="fixed"/>
        <w:tblCellMar>
          <w:top w:w="0" w:type="dxa"/>
          <w:left w:w="0" w:type="dxa"/>
          <w:bottom w:w="0" w:type="dxa"/>
          <w:right w:w="0" w:type="dxa"/>
        </w:tblCellMar>
      </w:tblPr>
      <w:tblGrid>
        <w:gridCol w:w="5611"/>
        <w:gridCol w:w="211"/>
        <w:gridCol w:w="676"/>
        <w:gridCol w:w="109"/>
        <w:gridCol w:w="211"/>
        <w:gridCol w:w="721"/>
      </w:tblGrid>
      <w:tr>
        <w:trPr/>
        <w:tc>
          <w:tcPr>
            <w:tcW w:w="5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5611" w:type="dxa"/>
            <w:tcBorders/>
            <w:vAlign w:val="center"/>
          </w:tcPr>
          <w:p>
            <w:pPr>
              <w:pStyle w:val="TableContents"/>
              <w:bidi w:val="0"/>
              <w:spacing w:before="0" w:after="283"/>
              <w:jc w:val="left"/>
              <w:rPr>
                <w:sz w:val="4"/>
                <w:szCs w:val="4"/>
              </w:rPr>
            </w:pPr>
            <w:r>
              <w:rPr>
                <w:sz w:val="4"/>
                <w:szCs w:val="4"/>
              </w:rPr>
            </w:r>
          </w:p>
        </w:tc>
        <w:tc>
          <w:tcPr>
            <w:tcW w:w="192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Nine Months Ended</w:t>
            </w:r>
          </w:p>
        </w:tc>
      </w:tr>
      <w:tr>
        <w:trPr/>
        <w:tc>
          <w:tcPr>
            <w:tcW w:w="5611" w:type="dxa"/>
            <w:tcBorders/>
            <w:vAlign w:val="center"/>
          </w:tcPr>
          <w:p>
            <w:pPr>
              <w:pStyle w:val="TableContents"/>
              <w:bidi w:val="0"/>
              <w:spacing w:before="0" w:after="283"/>
              <w:jc w:val="left"/>
              <w:rPr>
                <w:sz w:val="4"/>
                <w:szCs w:val="4"/>
              </w:rPr>
            </w:pPr>
            <w:r>
              <w:rPr>
                <w:sz w:val="4"/>
                <w:szCs w:val="4"/>
              </w:rPr>
            </w:r>
          </w:p>
        </w:tc>
        <w:tc>
          <w:tcPr>
            <w:tcW w:w="192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March 31</w:t>
            </w:r>
          </w:p>
        </w:tc>
      </w:tr>
      <w:tr>
        <w:trPr/>
        <w:tc>
          <w:tcPr>
            <w:tcW w:w="5611"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5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cash flow information:</w:t>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Right of use assets obtained in exchange for finance lease liabilities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31,716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5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paid for interest on finance lease liability</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5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paid, net of refunds, for income taxes: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5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of New York</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1,617</w:t>
            </w:r>
          </w:p>
        </w:tc>
      </w:tr>
      <w:tr>
        <w:trPr/>
        <w:tc>
          <w:tcPr>
            <w:tcW w:w="5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of Texas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6,500</w:t>
            </w:r>
          </w:p>
        </w:tc>
      </w:tr>
      <w:tr>
        <w:trPr/>
        <w:tc>
          <w:tcPr>
            <w:tcW w:w="5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of Massachusetts</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925</w:t>
            </w:r>
          </w:p>
        </w:tc>
      </w:tr>
      <w:tr>
        <w:trPr/>
        <w:tc>
          <w:tcPr>
            <w:tcW w:w="5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of New Jersey</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1,518</w:t>
            </w:r>
          </w:p>
        </w:tc>
      </w:tr>
      <w:tr>
        <w:trPr/>
        <w:tc>
          <w:tcPr>
            <w:tcW w:w="5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of California</w:t>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1,600</w:t>
            </w:r>
          </w:p>
        </w:tc>
      </w:tr>
      <w:tr>
        <w:trPr/>
        <w:tc>
          <w:tcPr>
            <w:tcW w:w="5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of North Carolina</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1,054</w:t>
            </w:r>
          </w:p>
        </w:tc>
      </w:tr>
      <w:tr>
        <w:trPr/>
        <w:tc>
          <w:tcPr>
            <w:tcW w:w="5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150</w:t>
            </w:r>
          </w:p>
        </w:tc>
      </w:tr>
      <w:tr>
        <w:trPr/>
        <w:tc>
          <w:tcPr>
            <w:tcW w:w="5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cash paid, net of refunds for income taxes</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13,364</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condensed consolidated financial statements.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CONDENSED CONSOLIDATED STATEMENTS OF STOCKHOLDERS’ EQUITY (Unaudited)</w:t>
      </w:r>
      <w:bookmarkStart w:id="9" w:name="SE"/>
      <w:bookmarkEnd w:id="9"/>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5"/>
        <w:gridCol w:w="976"/>
        <w:gridCol w:w="109"/>
        <w:gridCol w:w="211"/>
        <w:gridCol w:w="721"/>
        <w:gridCol w:w="109"/>
        <w:gridCol w:w="211"/>
        <w:gridCol w:w="1081"/>
        <w:gridCol w:w="109"/>
        <w:gridCol w:w="316"/>
        <w:gridCol w:w="1110"/>
        <w:gridCol w:w="109"/>
        <w:gridCol w:w="211"/>
        <w:gridCol w:w="1081"/>
        <w:gridCol w:w="109"/>
        <w:gridCol w:w="211"/>
        <w:gridCol w:w="1126"/>
      </w:tblGrid>
      <w:tr>
        <w:trPr/>
        <w:tc>
          <w:tcPr>
            <w:tcW w:w="240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sz w:val="4"/>
                <w:szCs w:val="4"/>
              </w:rPr>
            </w:pPr>
            <w:r>
              <w:rPr>
                <w:sz w:val="4"/>
                <w:szCs w:val="4"/>
              </w:rPr>
            </w:r>
          </w:p>
        </w:tc>
        <w:tc>
          <w:tcPr>
            <w:tcW w:w="7800" w:type="dxa"/>
            <w:gridSpan w:val="16"/>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Nine Months Ended March 31, 2026</w:t>
            </w:r>
          </w:p>
        </w:tc>
      </w:tr>
      <w:tr>
        <w:trPr/>
        <w:tc>
          <w:tcPr>
            <w:tcW w:w="2405" w:type="dxa"/>
            <w:tcBorders/>
            <w:vAlign w:val="center"/>
          </w:tcPr>
          <w:p>
            <w:pPr>
              <w:pStyle w:val="TableContents"/>
              <w:bidi w:val="0"/>
              <w:spacing w:before="0" w:after="283"/>
              <w:jc w:val="left"/>
              <w:rPr>
                <w:sz w:val="4"/>
                <w:szCs w:val="4"/>
              </w:rPr>
            </w:pPr>
            <w:r>
              <w:rPr>
                <w:sz w:val="4"/>
                <w:szCs w:val="4"/>
              </w:rPr>
            </w:r>
          </w:p>
        </w:tc>
        <w:tc>
          <w:tcPr>
            <w:tcW w:w="2017" w:type="dxa"/>
            <w:gridSpan w:val="4"/>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Accumulated</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sz w:val="4"/>
                <w:szCs w:val="4"/>
              </w:rPr>
            </w:pPr>
            <w:r>
              <w:rPr>
                <w:sz w:val="4"/>
                <w:szCs w:val="4"/>
              </w:rPr>
            </w:r>
          </w:p>
        </w:tc>
        <w:tc>
          <w:tcPr>
            <w:tcW w:w="2017"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Paid in</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Comprehensive</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Retained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Shares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Loss</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Total</w:t>
            </w:r>
          </w:p>
        </w:tc>
      </w:tr>
      <w:tr>
        <w:trPr/>
        <w:tc>
          <w:tcPr>
            <w:tcW w:w="24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Balance, June 30, 2025</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9,456,438</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47,282</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13,741,384</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10"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16,821,369</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30,610,035</w:t>
            </w:r>
            <w:r>
              <w:rPr>
                <w:rFonts w:ascii="Times New Roman;serif" w:hAnsi="Times New Roman;serif"/>
                <w:caps w:val="false"/>
                <w:smallCaps w:val="false"/>
                <w:sz w:val="19"/>
              </w:rPr>
              <w:t> </w:t>
            </w:r>
          </w:p>
        </w:tc>
      </w:tr>
      <w:tr>
        <w:trPr/>
        <w:tc>
          <w:tcPr>
            <w:tcW w:w="24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Net loss</w:t>
            </w:r>
          </w:p>
        </w:tc>
        <w:tc>
          <w:tcPr>
            <w:tcW w:w="97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(868,265)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(868,265)</w:t>
            </w:r>
          </w:p>
        </w:tc>
      </w:tr>
      <w:tr>
        <w:trPr/>
        <w:tc>
          <w:tcPr>
            <w:tcW w:w="24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Stock-based compensation expense</w:t>
            </w:r>
          </w:p>
        </w:tc>
        <w:tc>
          <w:tcPr>
            <w:tcW w:w="9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2,707</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1110"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2,707</w:t>
            </w:r>
            <w:r>
              <w:rPr>
                <w:rFonts w:ascii="Times New Roman;serif" w:hAnsi="Times New Roman;serif"/>
                <w:caps w:val="false"/>
                <w:smallCaps w:val="false"/>
                <w:sz w:val="19"/>
              </w:rPr>
              <w:t> </w:t>
            </w:r>
          </w:p>
        </w:tc>
      </w:tr>
      <w:tr>
        <w:trPr/>
        <w:tc>
          <w:tcPr>
            <w:tcW w:w="24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Unrealized loss on available-for-sale securities</w:t>
            </w:r>
          </w:p>
        </w:tc>
        <w:tc>
          <w:tcPr>
            <w:tcW w:w="97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(37,962)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(37,962)</w:t>
            </w:r>
          </w:p>
        </w:tc>
      </w:tr>
      <w:tr>
        <w:trPr/>
        <w:tc>
          <w:tcPr>
            <w:tcW w:w="24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Stock option exercises</w:t>
            </w:r>
          </w:p>
        </w:tc>
        <w:tc>
          <w:tcPr>
            <w:tcW w:w="9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10,000</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50</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21,050</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10"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21,100</w:t>
            </w:r>
            <w:r>
              <w:rPr>
                <w:rFonts w:ascii="Times New Roman;serif" w:hAnsi="Times New Roman;serif"/>
                <w:caps w:val="false"/>
                <w:smallCaps w:val="false"/>
                <w:sz w:val="19"/>
              </w:rPr>
              <w:t> </w:t>
            </w:r>
          </w:p>
        </w:tc>
      </w:tr>
      <w:tr>
        <w:trPr/>
        <w:tc>
          <w:tcPr>
            <w:tcW w:w="24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Balance, March 31, 2026</w:t>
            </w:r>
          </w:p>
        </w:tc>
        <w:tc>
          <w:tcPr>
            <w:tcW w:w="9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9,466,438</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7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47,332</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13,765,141</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1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(37,962)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15,953,104</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29,727,615</w:t>
            </w:r>
            <w:r>
              <w:rPr>
                <w:rFonts w:ascii="Times New Roman;serif" w:hAnsi="Times New Roman;serif"/>
                <w:caps w:val="false"/>
                <w:smallCaps w:val="false"/>
                <w:sz w:val="19"/>
              </w:rPr>
              <w:t> </w:t>
            </w:r>
          </w:p>
        </w:tc>
      </w:tr>
    </w:tbl>
    <w:tbl>
      <w:tblPr>
        <w:tblW w:w="10205" w:type="dxa"/>
        <w:jc w:val="left"/>
        <w:tblInd w:w="0" w:type="dxa"/>
        <w:tblLayout w:type="fixed"/>
        <w:tblCellMar>
          <w:top w:w="0" w:type="dxa"/>
          <w:left w:w="0" w:type="dxa"/>
          <w:bottom w:w="0" w:type="dxa"/>
          <w:right w:w="0" w:type="dxa"/>
        </w:tblCellMar>
      </w:tblPr>
      <w:tblGrid>
        <w:gridCol w:w="2405"/>
        <w:gridCol w:w="976"/>
        <w:gridCol w:w="109"/>
        <w:gridCol w:w="211"/>
        <w:gridCol w:w="721"/>
        <w:gridCol w:w="109"/>
        <w:gridCol w:w="211"/>
        <w:gridCol w:w="1081"/>
        <w:gridCol w:w="109"/>
        <w:gridCol w:w="539"/>
        <w:gridCol w:w="887"/>
        <w:gridCol w:w="109"/>
        <w:gridCol w:w="211"/>
        <w:gridCol w:w="1081"/>
        <w:gridCol w:w="109"/>
        <w:gridCol w:w="211"/>
        <w:gridCol w:w="1126"/>
      </w:tblGrid>
      <w:tr>
        <w:trPr/>
        <w:tc>
          <w:tcPr>
            <w:tcW w:w="240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sz w:val="4"/>
                <w:szCs w:val="4"/>
              </w:rPr>
            </w:pPr>
            <w:r>
              <w:rPr>
                <w:sz w:val="4"/>
                <w:szCs w:val="4"/>
              </w:rPr>
            </w:r>
          </w:p>
        </w:tc>
        <w:tc>
          <w:tcPr>
            <w:tcW w:w="6354" w:type="dxa"/>
            <w:gridSpan w:val="13"/>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Nine Months Ended March 31, 2025</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sz w:val="4"/>
                <w:szCs w:val="4"/>
              </w:rPr>
            </w:pPr>
            <w:r>
              <w:rPr>
                <w:sz w:val="4"/>
                <w:szCs w:val="4"/>
              </w:rPr>
            </w:r>
          </w:p>
        </w:tc>
        <w:tc>
          <w:tcPr>
            <w:tcW w:w="2017" w:type="dxa"/>
            <w:gridSpan w:val="4"/>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Accumulated</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sz w:val="4"/>
                <w:szCs w:val="4"/>
              </w:rPr>
            </w:pPr>
            <w:r>
              <w:rPr>
                <w:sz w:val="4"/>
                <w:szCs w:val="4"/>
              </w:rPr>
            </w:r>
          </w:p>
        </w:tc>
        <w:tc>
          <w:tcPr>
            <w:tcW w:w="2017"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Paid in</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Comprehensive</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Retained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Shares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Loss</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Total</w:t>
            </w:r>
          </w:p>
        </w:tc>
      </w:tr>
      <w:tr>
        <w:trPr/>
        <w:tc>
          <w:tcPr>
            <w:tcW w:w="24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Balance, June 30, 2024</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9,299,795</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46,499</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13,404,477</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887"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17,696,200</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31,147,176</w:t>
            </w:r>
            <w:r>
              <w:rPr>
                <w:rFonts w:ascii="Times New Roman;serif" w:hAnsi="Times New Roman;serif"/>
                <w:caps w:val="false"/>
                <w:smallCaps w:val="false"/>
                <w:sz w:val="19"/>
              </w:rPr>
              <w:t> </w:t>
            </w:r>
          </w:p>
        </w:tc>
      </w:tr>
      <w:tr>
        <w:trPr/>
        <w:tc>
          <w:tcPr>
            <w:tcW w:w="24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Net loss</w:t>
            </w:r>
          </w:p>
        </w:tc>
        <w:tc>
          <w:tcPr>
            <w:tcW w:w="97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(642,135)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(642,135)</w:t>
            </w:r>
          </w:p>
        </w:tc>
      </w:tr>
      <w:tr>
        <w:trPr/>
        <w:tc>
          <w:tcPr>
            <w:tcW w:w="24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Stock-based compensation expense</w:t>
            </w:r>
          </w:p>
        </w:tc>
        <w:tc>
          <w:tcPr>
            <w:tcW w:w="9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25,689</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25,689</w:t>
            </w:r>
            <w:r>
              <w:rPr>
                <w:rFonts w:ascii="Times New Roman;serif" w:hAnsi="Times New Roman;serif"/>
                <w:caps w:val="false"/>
                <w:smallCaps w:val="false"/>
                <w:sz w:val="19"/>
              </w:rPr>
              <w:t> </w:t>
            </w:r>
          </w:p>
        </w:tc>
      </w:tr>
      <w:tr>
        <w:trPr/>
        <w:tc>
          <w:tcPr>
            <w:tcW w:w="24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Unrealized loss on available-for-sale securities</w:t>
            </w:r>
          </w:p>
        </w:tc>
        <w:tc>
          <w:tcPr>
            <w:tcW w:w="97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24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Stock option exercises</w:t>
            </w:r>
          </w:p>
        </w:tc>
        <w:tc>
          <w:tcPr>
            <w:tcW w:w="9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76,000</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380</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152,065</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87"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152,445</w:t>
            </w:r>
            <w:r>
              <w:rPr>
                <w:rFonts w:ascii="Times New Roman;serif" w:hAnsi="Times New Roman;serif"/>
                <w:caps w:val="false"/>
                <w:smallCaps w:val="false"/>
                <w:sz w:val="19"/>
              </w:rPr>
              <w:t> </w:t>
            </w:r>
          </w:p>
        </w:tc>
      </w:tr>
      <w:tr>
        <w:trPr/>
        <w:tc>
          <w:tcPr>
            <w:tcW w:w="24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Balance, March 31, 2025</w:t>
            </w:r>
          </w:p>
        </w:tc>
        <w:tc>
          <w:tcPr>
            <w:tcW w:w="9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9,375,795</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7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46,879</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13,582,231</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88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17,054,065</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30,683,175</w:t>
            </w:r>
            <w:r>
              <w:rPr>
                <w:rFonts w:ascii="Times New Roman;serif" w:hAnsi="Times New Roman;serif"/>
                <w:caps w:val="false"/>
                <w:smallCaps w:val="false"/>
                <w:sz w:val="19"/>
              </w:rPr>
              <w:t> </w:t>
            </w:r>
          </w:p>
        </w:tc>
      </w:tr>
    </w:tbl>
    <w:tbl>
      <w:tblPr>
        <w:tblW w:w="10205" w:type="dxa"/>
        <w:jc w:val="left"/>
        <w:tblInd w:w="0" w:type="dxa"/>
        <w:tblLayout w:type="fixed"/>
        <w:tblCellMar>
          <w:top w:w="0" w:type="dxa"/>
          <w:left w:w="0" w:type="dxa"/>
          <w:bottom w:w="0" w:type="dxa"/>
          <w:right w:w="0" w:type="dxa"/>
        </w:tblCellMar>
      </w:tblPr>
      <w:tblGrid>
        <w:gridCol w:w="2405"/>
        <w:gridCol w:w="976"/>
        <w:gridCol w:w="109"/>
        <w:gridCol w:w="211"/>
        <w:gridCol w:w="721"/>
        <w:gridCol w:w="109"/>
        <w:gridCol w:w="211"/>
        <w:gridCol w:w="1081"/>
        <w:gridCol w:w="109"/>
        <w:gridCol w:w="316"/>
        <w:gridCol w:w="1110"/>
        <w:gridCol w:w="109"/>
        <w:gridCol w:w="211"/>
        <w:gridCol w:w="1081"/>
        <w:gridCol w:w="109"/>
        <w:gridCol w:w="211"/>
        <w:gridCol w:w="1126"/>
      </w:tblGrid>
      <w:tr>
        <w:trPr/>
        <w:tc>
          <w:tcPr>
            <w:tcW w:w="240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sz w:val="4"/>
                <w:szCs w:val="4"/>
              </w:rPr>
            </w:pPr>
            <w:r>
              <w:rPr>
                <w:sz w:val="4"/>
                <w:szCs w:val="4"/>
              </w:rPr>
            </w:r>
          </w:p>
        </w:tc>
        <w:tc>
          <w:tcPr>
            <w:tcW w:w="7800" w:type="dxa"/>
            <w:gridSpan w:val="16"/>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Three Months Ended March 31, 2026</w:t>
            </w:r>
          </w:p>
        </w:tc>
      </w:tr>
      <w:tr>
        <w:trPr/>
        <w:tc>
          <w:tcPr>
            <w:tcW w:w="2405" w:type="dxa"/>
            <w:tcBorders/>
            <w:vAlign w:val="center"/>
          </w:tcPr>
          <w:p>
            <w:pPr>
              <w:pStyle w:val="TableContents"/>
              <w:bidi w:val="0"/>
              <w:spacing w:before="0" w:after="283"/>
              <w:jc w:val="left"/>
              <w:rPr>
                <w:sz w:val="4"/>
                <w:szCs w:val="4"/>
              </w:rPr>
            </w:pPr>
            <w:r>
              <w:rPr>
                <w:sz w:val="4"/>
                <w:szCs w:val="4"/>
              </w:rPr>
            </w:r>
          </w:p>
        </w:tc>
        <w:tc>
          <w:tcPr>
            <w:tcW w:w="2017" w:type="dxa"/>
            <w:gridSpan w:val="4"/>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Accumulated</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sz w:val="4"/>
                <w:szCs w:val="4"/>
              </w:rPr>
            </w:pPr>
            <w:r>
              <w:rPr>
                <w:sz w:val="4"/>
                <w:szCs w:val="4"/>
              </w:rPr>
            </w:r>
          </w:p>
        </w:tc>
        <w:tc>
          <w:tcPr>
            <w:tcW w:w="2017"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Paid in</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Comprehensive</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Retained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Shares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Loss</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Total</w:t>
            </w:r>
          </w:p>
        </w:tc>
      </w:tr>
      <w:tr>
        <w:trPr/>
        <w:tc>
          <w:tcPr>
            <w:tcW w:w="24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Balance, December 31, 2025</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9,466,438</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47,332</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13,763,907</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10"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16,499,691</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30,310,930</w:t>
            </w:r>
            <w:r>
              <w:rPr>
                <w:rFonts w:ascii="Times New Roman;serif" w:hAnsi="Times New Roman;serif"/>
                <w:caps w:val="false"/>
                <w:smallCaps w:val="false"/>
                <w:sz w:val="19"/>
              </w:rPr>
              <w:t> </w:t>
            </w:r>
          </w:p>
        </w:tc>
      </w:tr>
      <w:tr>
        <w:trPr/>
        <w:tc>
          <w:tcPr>
            <w:tcW w:w="24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Net loss</w:t>
            </w:r>
          </w:p>
        </w:tc>
        <w:tc>
          <w:tcPr>
            <w:tcW w:w="97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(546,587)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(546,587)</w:t>
            </w:r>
          </w:p>
        </w:tc>
      </w:tr>
      <w:tr>
        <w:trPr/>
        <w:tc>
          <w:tcPr>
            <w:tcW w:w="24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Stock-based compensation expense</w:t>
            </w:r>
          </w:p>
        </w:tc>
        <w:tc>
          <w:tcPr>
            <w:tcW w:w="9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1,234</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1110"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1,234</w:t>
            </w:r>
            <w:r>
              <w:rPr>
                <w:rFonts w:ascii="Times New Roman;serif" w:hAnsi="Times New Roman;serif"/>
                <w:caps w:val="false"/>
                <w:smallCaps w:val="false"/>
                <w:sz w:val="19"/>
              </w:rPr>
              <w:t> </w:t>
            </w:r>
          </w:p>
        </w:tc>
      </w:tr>
      <w:tr>
        <w:trPr/>
        <w:tc>
          <w:tcPr>
            <w:tcW w:w="24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Unrealized loss on available-for-sale securities</w:t>
            </w:r>
          </w:p>
        </w:tc>
        <w:tc>
          <w:tcPr>
            <w:tcW w:w="97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(37,962)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(37,962)</w:t>
            </w:r>
          </w:p>
        </w:tc>
      </w:tr>
      <w:tr>
        <w:trPr/>
        <w:tc>
          <w:tcPr>
            <w:tcW w:w="24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Stock option exercises</w:t>
            </w:r>
          </w:p>
        </w:tc>
        <w:tc>
          <w:tcPr>
            <w:tcW w:w="97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10"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4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Balance, March 31, 2026</w:t>
            </w:r>
          </w:p>
        </w:tc>
        <w:tc>
          <w:tcPr>
            <w:tcW w:w="9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9,466,438</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7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47,332</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13,765,141</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1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(37,962)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15,953,104</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29,727,615</w:t>
            </w:r>
            <w:r>
              <w:rPr>
                <w:rFonts w:ascii="Times New Roman;serif" w:hAnsi="Times New Roman;serif"/>
                <w:caps w:val="false"/>
                <w:smallCaps w:val="false"/>
                <w:sz w:val="19"/>
              </w:rPr>
              <w:t> </w:t>
            </w:r>
          </w:p>
        </w:tc>
      </w:tr>
    </w:tbl>
    <w:tbl>
      <w:tblPr>
        <w:tblW w:w="10205" w:type="dxa"/>
        <w:jc w:val="left"/>
        <w:tblInd w:w="0" w:type="dxa"/>
        <w:tblLayout w:type="fixed"/>
        <w:tblCellMar>
          <w:top w:w="0" w:type="dxa"/>
          <w:left w:w="0" w:type="dxa"/>
          <w:bottom w:w="0" w:type="dxa"/>
          <w:right w:w="0" w:type="dxa"/>
        </w:tblCellMar>
      </w:tblPr>
      <w:tblGrid>
        <w:gridCol w:w="2405"/>
        <w:gridCol w:w="976"/>
        <w:gridCol w:w="109"/>
        <w:gridCol w:w="211"/>
        <w:gridCol w:w="721"/>
        <w:gridCol w:w="109"/>
        <w:gridCol w:w="211"/>
        <w:gridCol w:w="1081"/>
        <w:gridCol w:w="109"/>
        <w:gridCol w:w="539"/>
        <w:gridCol w:w="887"/>
        <w:gridCol w:w="109"/>
        <w:gridCol w:w="211"/>
        <w:gridCol w:w="1081"/>
        <w:gridCol w:w="109"/>
        <w:gridCol w:w="211"/>
        <w:gridCol w:w="1126"/>
      </w:tblGrid>
      <w:tr>
        <w:trPr/>
        <w:tc>
          <w:tcPr>
            <w:tcW w:w="240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sz w:val="4"/>
                <w:szCs w:val="4"/>
              </w:rPr>
            </w:pPr>
            <w:r>
              <w:rPr>
                <w:sz w:val="4"/>
                <w:szCs w:val="4"/>
              </w:rPr>
            </w:r>
          </w:p>
        </w:tc>
        <w:tc>
          <w:tcPr>
            <w:tcW w:w="7800" w:type="dxa"/>
            <w:gridSpan w:val="16"/>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Three Months Ended March 31, 2025</w:t>
            </w:r>
          </w:p>
        </w:tc>
      </w:tr>
      <w:tr>
        <w:trPr/>
        <w:tc>
          <w:tcPr>
            <w:tcW w:w="2405" w:type="dxa"/>
            <w:tcBorders/>
            <w:vAlign w:val="center"/>
          </w:tcPr>
          <w:p>
            <w:pPr>
              <w:pStyle w:val="TableContents"/>
              <w:bidi w:val="0"/>
              <w:spacing w:before="0" w:after="283"/>
              <w:jc w:val="left"/>
              <w:rPr>
                <w:sz w:val="4"/>
                <w:szCs w:val="4"/>
              </w:rPr>
            </w:pPr>
            <w:r>
              <w:rPr>
                <w:sz w:val="4"/>
                <w:szCs w:val="4"/>
              </w:rPr>
            </w:r>
          </w:p>
        </w:tc>
        <w:tc>
          <w:tcPr>
            <w:tcW w:w="2017" w:type="dxa"/>
            <w:gridSpan w:val="4"/>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Accumulated</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sz w:val="4"/>
                <w:szCs w:val="4"/>
              </w:rPr>
            </w:pPr>
            <w:r>
              <w:rPr>
                <w:sz w:val="4"/>
                <w:szCs w:val="4"/>
              </w:rPr>
            </w:r>
          </w:p>
        </w:tc>
        <w:tc>
          <w:tcPr>
            <w:tcW w:w="2017"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Paid in</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Comprehensive</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Retained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sz w:val="4"/>
                <w:szCs w:val="4"/>
              </w:rPr>
            </w:pPr>
            <w:r>
              <w:rPr>
                <w:sz w:val="4"/>
                <w:szCs w:val="4"/>
              </w:rPr>
            </w:r>
          </w:p>
        </w:tc>
        <w:tc>
          <w:tcPr>
            <w:tcW w:w="2017" w:type="dxa"/>
            <w:gridSpan w:val="4"/>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405"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Shares</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Amount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gridSpan w:val="2"/>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Earnings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7" w:type="dxa"/>
            <w:gridSpan w:val="2"/>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Total</w:t>
            </w:r>
          </w:p>
        </w:tc>
      </w:tr>
      <w:tr>
        <w:trPr/>
        <w:tc>
          <w:tcPr>
            <w:tcW w:w="24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Balance, December 31, 2024</w:t>
            </w:r>
          </w:p>
        </w:tc>
        <w:tc>
          <w:tcPr>
            <w:tcW w:w="97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9,375,795</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46,879</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13,576,206</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887" w:type="dxa"/>
            <w:tcBorders>
              <w:top w:val="single" w:sz="8" w:space="0" w:color="000000"/>
            </w:tcBorders>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17,370,807</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2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30,993,892</w:t>
            </w:r>
            <w:r>
              <w:rPr>
                <w:rFonts w:ascii="Times New Roman;serif" w:hAnsi="Times New Roman;serif"/>
                <w:caps w:val="false"/>
                <w:smallCaps w:val="false"/>
                <w:sz w:val="19"/>
              </w:rPr>
              <w:t> </w:t>
            </w:r>
          </w:p>
        </w:tc>
      </w:tr>
      <w:tr>
        <w:trPr/>
        <w:tc>
          <w:tcPr>
            <w:tcW w:w="24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Net loss</w:t>
            </w:r>
          </w:p>
        </w:tc>
        <w:tc>
          <w:tcPr>
            <w:tcW w:w="9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(316,742)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(316,742)</w:t>
            </w:r>
          </w:p>
        </w:tc>
      </w:tr>
      <w:tr>
        <w:trPr/>
        <w:tc>
          <w:tcPr>
            <w:tcW w:w="24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Stock-based compensation expense</w:t>
            </w:r>
          </w:p>
        </w:tc>
        <w:tc>
          <w:tcPr>
            <w:tcW w:w="97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6,025</w:t>
            </w:r>
            <w:r>
              <w:rPr>
                <w:rFonts w:ascii="Times New Roman;serif" w:hAnsi="Times New Roman;serif"/>
                <w:caps w:val="false"/>
                <w:smallCaps w:val="false"/>
                <w:sz w:val="19"/>
              </w:rPr>
              <w:t> </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6,025</w:t>
            </w:r>
            <w:r>
              <w:rPr>
                <w:rFonts w:ascii="Times New Roman;serif" w:hAnsi="Times New Roman;serif"/>
                <w:caps w:val="false"/>
                <w:smallCaps w:val="false"/>
                <w:sz w:val="19"/>
              </w:rPr>
              <w:t> </w:t>
            </w:r>
          </w:p>
        </w:tc>
      </w:tr>
      <w:tr>
        <w:trPr/>
        <w:tc>
          <w:tcPr>
            <w:tcW w:w="24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Unrealized loss on available-for-sale securities</w:t>
            </w:r>
          </w:p>
        </w:tc>
        <w:tc>
          <w:tcPr>
            <w:tcW w:w="9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24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Stock option exercises</w:t>
            </w:r>
          </w:p>
        </w:tc>
        <w:tc>
          <w:tcPr>
            <w:tcW w:w="97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7"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4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Balance, March 31, 2025</w:t>
            </w:r>
          </w:p>
        </w:tc>
        <w:tc>
          <w:tcPr>
            <w:tcW w:w="9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9,375,795</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7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46,879</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13,582,231</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88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17,054,065</w:t>
            </w:r>
            <w:r>
              <w:rPr>
                <w:rFonts w:ascii="Times New Roman;serif" w:hAnsi="Times New Roman;serif"/>
                <w:caps w:val="false"/>
                <w:smallCaps w:val="false"/>
                <w:sz w:val="19"/>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9"/>
              </w:rPr>
            </w:pPr>
            <w:r>
              <w:rPr>
                <w:rFonts w:ascii="Times New Roman;serif" w:hAnsi="Times New Roman;serif"/>
                <w:b w:val="false"/>
                <w:i w:val="false"/>
                <w:caps w:val="false"/>
                <w:smallCaps w:val="false"/>
                <w:sz w:val="19"/>
              </w:rPr>
              <w:t>30,683,175</w:t>
            </w:r>
            <w:r>
              <w:rPr>
                <w:rFonts w:ascii="Times New Roman;serif" w:hAnsi="Times New Roman;serif"/>
                <w:caps w:val="false"/>
                <w:smallCaps w:val="false"/>
                <w:sz w:val="19"/>
              </w:rPr>
              <w:t>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condensed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bookmarkStart w:id="10" w:name="Notes_FinancialStatements"/>
      <w:bookmarkEnd w:id="10"/>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CONDENSED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    SUMMARY OF SIGNIFICANT ACCOUNTING POLICIES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BASIS OF PRESENTATION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condensed consolidated balance sheets as of March 31, 2026 and June 30, 2025, the condensed consolidated statements of operations for the three and nine months ended March 31, 2026 and 2025, the condensed consolidated statements of comprehensive loss for the three and nine months ended March 31, 2026 and 2025, the condensed consolidated statements of cash flows for the nine months ended March 31, 2026 and 2025, and the condensed consolidated statements of stockholders' equity for the three and nine months ended March 31, 2026 and 2025, have been prepared by the Company in accordance with generally accepted accounting principles in the United States of America (“U.S. GAAP”) and have not been audited.  In the opinion of management, all adjustments (consisting of normal recurring adjustments) necessary to present fairly the financial position, results of operations and cash flows for all periods presented have been made. The operating results for any interim period are not necessarily indicative of the operating results that may be experienced for the full fiscal year.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Certain information and footnote disclosures normally included in consolidated financial statements prepared in accordance with U.S. GAAP have been condensed or omitted. These condensed consolidated financial statements should be read in conjunction with the consolidated financial statements and notes thereto included in the Company’s Annual Report on Form 10-K for the fiscal year ended June 30, 2025.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preparation of financial statements in conformity with U.S. GAAP requires the Company to make estimates and assumptions that affect the reported amounts of assets and liabilities and disclosure of contingent liabilities at the date of the condensed consolidated financial statements and the reported amounts of revenues and expenses. Significant estimates and assumptions are used for, but are not limited to, allowances for credit losses, reserves for excess and obsolete inventories, long-lived and right-of-use assets, income tax </w:t>
      </w:r>
      <w:r>
        <w:rPr>
          <w:rFonts w:ascii="Times New Roman;serif" w:hAnsi="Times New Roman;serif"/>
          <w:b w:val="false"/>
          <w:i w:val="false"/>
          <w:caps w:val="false"/>
          <w:smallCaps w:val="false"/>
          <w:color w:val="000000"/>
          <w:sz w:val="20"/>
        </w:rPr>
        <w:t>valuation allowance</w:t>
      </w:r>
      <w:r>
        <w:rPr>
          <w:rFonts w:ascii="Times New Roman;serif" w:hAnsi="Times New Roman;serif"/>
          <w:b w:val="false"/>
          <w:i w:val="false"/>
          <w:caps w:val="false"/>
          <w:smallCaps w:val="false"/>
          <w:color w:val="0782C1"/>
          <w:sz w:val="20"/>
        </w:rPr>
        <w:t>,</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stock-based compensation and deferred compensation. Actual results could differ from the Company's estimates.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    INVESTMENTS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investments consist of debt securities classified as available-for-sale and are recorded at fair value. Any unrealized gains or losses arising from changes in the fair value of these available-for-sale debt securities are recognized in accumulated other comprehensive income (loss) until they are realized through the sale of the securities or if an impairment is identified. Available-for-sale debt securities are classified as short-term investments in the Company’s financial statements as management intends to use the proceeds from the sales of these securities to fund potential acquisitions, although the exact timing of such acquisitions is currently undetermined.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quarter ended March 31, 2026, the Company reclassified its debt securities previously designated as held-to-maturity to available-for-sale in connection with changes in the Company’s anticipated liquidity needs as the Company adopted a diversification by acquisition strategy. The debt securities had an amortized cost of $16,994,043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fair value of $16,956,081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as of March 31, 2026. As a result of the transfer, the Company recorded an unrealized loss of $37,962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 other comprehensive loss, representing the difference between the securities’ amortized cost and fair value. The unrealized loss is the sole component of accumulated other comprehensive income for the three months ended March 31, 2026. Management concluded that the transfer was consistent with the exceptions to the held-to-maturity classification restrictions under applicable accounting guidance due to changes in circumstances that could not have been reasonably anticipated at the time the securities were classified as held-to-maturity.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Debt securities were classified as held-to-maturity at June 30, 2025 as the Company had the positive intent and ability to hold them to maturity. The securities were carried at amortized cost as current or noncurrent based upon maturity date and unrealized gains and losses were recognized only if realized.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amortized cost of all debt securities is adjusted for amortization of premium and accretion of discounts to maturity. Such amortization or accretion is included in interest income, along with other interest income earned on cash and cash equivalents. Accrued interest receivable on debt securities is shown separately on the condensed consolidated balance sheets and is not included in any estimate for credit losses.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allowance for credit losses on U.S. Treasury securities is recorded as these securities have the following characteristics that support a zero-loss expectation: they are explicitly guaranteed by the U.S. government, are consistently highly rated by major rating agencies and have a long history of no credit losses. See Note 2 for additional information on investments.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    FAIR VALUE MEASUREMENTS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equivalents, accounts receivable, and accounts payable approximate fair value based on the short maturity of these instruments. The Company’s U.S. treasury debt securities at March 31, 2026 are recorded at fair value as they are classified as available-for-sale. At June 30, 2025, U.S. treasury debt securities were classified as held-to-maturity and recorded at amortized cost with fair value disclosure. They have a readily available market price (Level 1 input), thus a lesser degree of judgment needs to be used in measuring fair value, and fair value was determined by quoted market prices. The fair value is based upon quoted market prices and is disclosed in Note 2.</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 LEGAL COSTS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All legal costs related to litigation for which the Company is liable are charged to operations as incurred, except contingent legal fees as described below. Proceeds from the settlement of legal disputes are recorded in other income when the amounts are determinable, and the collection is certain. License proceeds are considered functional and as such are recorded at a point in time, based on the underlying agreement. Related contingent legal fees and expenses are recorded in selling, general and administrative expense at that time. Changes to the contingent legal fee expenses could have a material impact on the results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 OTHER INCOME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the nine months ended March 31, 2026, the Company received licensing proceeds of $250,000, which were recorded as other income. Other income is shown as a separate line on the condensed consolidated statements of operations.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such licensing proceeds were recorded during the same period in the prior year or during the three months ended March 31, 2026 and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    INCOME TAXES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We estimate a provision for income taxes based on the effective tax rate expected to be applicable for the fiscal year. If the actual results are different from these estimates, adjustments to the effective tax rate may be required in the period such determination is made. Additionally, discrete items are treated separately from the effective rate analysis and are recorded separately as an income tax provision or benefit at the time they are recognized.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State income tax provisions of $1,825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$7,345, respectively, were recorded for the three- and nine-month periods ending March 31, 2026 for the required minimum state tax payments. State income tax expense of $5,204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$10,724, respectively, was recorded for the three and nine months ended March 31, 2025 as well for the required minimum state tax payments. Federal income tax expense of $707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was recorded during the three and nine months ended March 31, 2025 as a result of the amendment of a prior year tax return.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other federal income tax provisions were recorded during the first nine months of fiscal years 2026 and 2025 due to net operating loss carryforwards (“NOLs”) available to offset taxable income. Application of available NOLs to potential future taxable income would minimize any tax payment requirements. </w:t>
      </w:r>
      <w:r>
        <w:rPr>
          <w:rFonts w:ascii="Times New Roman;serif" w:hAnsi="Times New Roman;serif"/>
          <w:b w:val="false"/>
          <w:i w:val="false"/>
          <w:caps w:val="false"/>
          <w:smallCaps w:val="false"/>
          <w:sz w:val="20"/>
          <w:shd w:fill="FFFFFF" w:val="clear"/>
        </w:rPr>
        <w:t xml:space="preserve">NOLs arising in tax years beginning after December 31, 2017 are limited to 80 percent of taxable income per the Tax Cuts and Jobs Act (“TCJA”) and, as such, the future utilization of all federal NOLs available to the Company are so </w:t>
      </w:r>
      <w:r>
        <w:rPr>
          <w:rFonts w:ascii="Times New Roman;serif" w:hAnsi="Times New Roman;serif"/>
          <w:b w:val="false"/>
          <w:i w:val="false"/>
          <w:caps w:val="false"/>
          <w:smallCaps w:val="false"/>
          <w:sz w:val="20"/>
        </w:rPr>
        <w:t xml:space="preserve">limited.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tax loss carryforward as of March 31, 2026 was approximately $35,290,000. Given the cumulative taxable losses for the last three years, excluding one-time items, the expectation for utilization of the estimated tax loss carryforward is not likely, and as such, the future realization of this continues to be uncertain. The valuation allowance was adjusted to continue to fully offset the net deferred tax asset as there is sufficient negative evidence to support a full valuation allowance.</w:t>
      </w:r>
    </w:p>
    <w:p>
      <w:pPr>
        <w:pStyle w:val="TextBody"/>
        <w:bidi w:val="0"/>
        <w:spacing w:lineRule="auto" w:line="259"/>
        <w:rPr>
          <w:rFonts w:ascii="Times New Roman;serif" w:hAnsi="Times New Roman;serif"/>
          <w:b w:val="false"/>
          <w:i w:val="false"/>
          <w:caps w:val="false"/>
          <w:smallCaps w:val="false"/>
          <w:sz w:val="20"/>
        </w:rPr>
      </w:pPr>
      <w:bookmarkStart w:id="11" w:name="_Hlk94599261"/>
      <w:bookmarkEnd w:id="11"/>
      <w:r>
        <w:rPr>
          <w:rFonts w:ascii="Times New Roman;serif" w:hAnsi="Times New Roman;serif"/>
          <w:b w:val="false"/>
          <w:i w:val="false"/>
          <w:caps w:val="false"/>
          <w:smallCaps w:val="false"/>
          <w:sz w:val="20"/>
        </w:rPr>
        <w:t>G) DEFERRED COMPENSATION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Company’s deferred compensation liability is for a current officer and is calculated based on years of service and compensation, along with various assumptions related to expected retirement date, discount rates, and mortality tables. The related expense is calculated using the net present value of the expected payments and is included in selling, general and administrative expenses in the condensed consolidated statements of operations. The deferred compensation liability recorded at March 31, 2026 and June 30, 2025 is $2,446,100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$2,226,454, respectively. Compensation income of $603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was recorded during the three months ended March 31, 2026, mostly due to an increase in the discount factor from 5.45% at December 31, 2025 to 5.62% at March 31, 2026. Expense of $219,646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was recorded during the nine month period ended March 31, 2026 as a result of the increase in the deferred compensation liability for the current officer, due mainly to the annual increase in the future payments earned under the arrangement due to completing an additional year of service, as well as a decrease in the discount factor. The discount factor used to calculate the net present value of the liability was 5.81% at June 30, 2025 and declined to 5.62% at March 31, 2026. For the three and nine months ended March 31, 2025, compensation expense of $14,016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$148,680, respectively, were recorded under this arrangement.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 RECENT ACCOUNTING PRONOUNCEMENTS</w:t>
      </w:r>
    </w:p>
    <w:p>
      <w:pPr>
        <w:pStyle w:val="TextBody"/>
        <w:bidi w:val="0"/>
        <w:spacing w:lineRule="auto" w:line="259"/>
        <w:rPr>
          <w:rFonts w:ascii="Times New Roman;serif" w:hAnsi="Times New Roman;serif"/>
          <w:b w:val="false"/>
          <w:i/>
          <w:sz w:val="20"/>
          <w:u w:val="single"/>
        </w:rPr>
      </w:pPr>
      <w:r>
        <w:rPr>
          <w:rFonts w:ascii="Times New Roman;serif" w:hAnsi="Times New Roman;serif"/>
          <w:b w:val="false"/>
          <w:i/>
          <w:sz w:val="20"/>
          <w:u w:val="single"/>
        </w:rPr>
        <w:t>Recently Adopted Accounting Pronouncements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December 2023, FASB issued ASU 2023-09, Income Taxes (Topic 740): Improvements to Income Tax Disclosures. The ASU focuses on income tax disclosures around effective tax rates and cash income taxes paid and requires consistent categories and greater disaggregation of information in the rate reconciliation, income taxes paid disaggregated by jurisdiction and certain other amendments. The new guidance was adopted prospectively as of July 1, 2025 and ASU 2023-09 does not mandate retrospective disclosure. Given the ASU relates solely to disclosure requirements, adoption does not have a material impact on the Company’s financial position, results of operations or cash flows. See Note 4 for further information.</w:t>
      </w:r>
    </w:p>
    <w:p>
      <w:pPr>
        <w:pStyle w:val="TextBody"/>
        <w:bidi w:val="0"/>
        <w:spacing w:lineRule="auto" w:line="259"/>
        <w:rPr>
          <w:rFonts w:ascii="Times New Roman;serif" w:hAnsi="Times New Roman;serif"/>
          <w:b w:val="false"/>
          <w:i/>
          <w:sz w:val="20"/>
          <w:u w:val="single"/>
        </w:rPr>
      </w:pPr>
      <w:r>
        <w:rPr>
          <w:rFonts w:ascii="Times New Roman;serif" w:hAnsi="Times New Roman;serif"/>
          <w:b w:val="false"/>
          <w:i/>
          <w:sz w:val="20"/>
          <w:u w:val="single"/>
        </w:rPr>
        <w:t>Recently Issued Accounting Pronouncements Not Yet Adopted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March 2024, FASB issued ASU 2024-03, Income Statement – Reporting Comprehensive Income - Expense Disaggregation Disclosures (Subtopic 220 40): Disaggregation of Certain Income Statement Expenses, which was subsequently amended by ASU 2025-01 in January 2025 to clarify and refine certain requirements. The ASU requires public business entities to disclose in the notes to the financial statements the amounts of employee compensation, depreciation, amortization, and inventory costs included in each relevant income statement line item. The guidance also requires disclosure of other expense categories if they are significant to an understanding of the entity’s financial performance. The amendments are effective for annual periods beginning after December 15, 2026, and for interim periods within fiscal years beginning after December 15, 2027 and entities are required to apply the amendments retrospectively. Early adoption is permitted.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will evaluate the impact of the standards on its consolidated financial statements and related disclosures. While the adoption of ASU 2024-03 and ASU 2025-01 will not affect the Company’s recognition, measurement or presentation of expenses on the face of the consolidated statements of operations, it is expected to result in expanded disclosures in the notes to the consolidated financial statements. The Company has not yet determined whether it will early adopt the guidance.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    INVESTMENTS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three months ended March 31, 2026, the Company transferred its debt securities with an amortized cost basis of $16,994,043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from its held-to-maturity portfolio to its available-for-sale portfolio. The securities were transferred at their aggregate fair value of $16,956,081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March 31, 2026. As a result of the transfer, the Company recorded a $37,962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unrealized loss in accumulated other comprehensive loss within stockholders’ equity during the period.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transfer was made in response to the Company’s recently announced diversification strategy via acquisition and the related cash requirements of funding potential acquisition opportunities. Following the transfer, the securities are classified as available-for-sale and carried at fair value on the condensed consolidated balance sheet.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the amortized cost and fair value of the debt securities available for sale at March 31, 2026:</w:t>
      </w:r>
    </w:p>
    <w:tbl>
      <w:tblPr>
        <w:tblW w:w="9495" w:type="dxa"/>
        <w:jc w:val="left"/>
        <w:tblInd w:w="0" w:type="dxa"/>
        <w:tblLayout w:type="fixed"/>
        <w:tblCellMar>
          <w:top w:w="0" w:type="dxa"/>
          <w:left w:w="0" w:type="dxa"/>
          <w:bottom w:w="0" w:type="dxa"/>
          <w:right w:w="0" w:type="dxa"/>
        </w:tblCellMar>
      </w:tblPr>
      <w:tblGrid>
        <w:gridCol w:w="1921"/>
        <w:gridCol w:w="312"/>
        <w:gridCol w:w="1533"/>
        <w:gridCol w:w="109"/>
        <w:gridCol w:w="484"/>
        <w:gridCol w:w="1556"/>
        <w:gridCol w:w="109"/>
        <w:gridCol w:w="492"/>
        <w:gridCol w:w="1578"/>
        <w:gridCol w:w="109"/>
        <w:gridCol w:w="211"/>
        <w:gridCol w:w="1081"/>
      </w:tblGrid>
      <w:tr>
        <w:trPr/>
        <w:tc>
          <w:tcPr>
            <w:tcW w:w="192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sz w:val="4"/>
                <w:szCs w:val="4"/>
              </w:rPr>
            </w:pPr>
            <w:r>
              <w:rPr>
                <w:sz w:val="4"/>
                <w:szCs w:val="4"/>
              </w:rPr>
            </w:r>
          </w:p>
        </w:tc>
        <w:tc>
          <w:tcPr>
            <w:tcW w:w="7574" w:type="dxa"/>
            <w:gridSpan w:val="11"/>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March 31, 2026</w:t>
            </w:r>
          </w:p>
        </w:tc>
      </w:tr>
      <w:tr>
        <w:trPr/>
        <w:tc>
          <w:tcPr>
            <w:tcW w:w="1921" w:type="dxa"/>
            <w:tcBorders/>
            <w:vAlign w:val="center"/>
          </w:tcPr>
          <w:p>
            <w:pPr>
              <w:pStyle w:val="TableContents"/>
              <w:bidi w:val="0"/>
              <w:spacing w:before="0" w:after="283"/>
              <w:jc w:val="left"/>
              <w:rPr>
                <w:sz w:val="4"/>
                <w:szCs w:val="4"/>
              </w:rPr>
            </w:pPr>
            <w:r>
              <w:rPr>
                <w:sz w:val="4"/>
                <w:szCs w:val="4"/>
              </w:rPr>
            </w:r>
          </w:p>
        </w:tc>
        <w:tc>
          <w:tcPr>
            <w:tcW w:w="184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Amortized cost basis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04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Gross unrealized gains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07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Gross unrealized losses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Fair Value</w:t>
            </w:r>
          </w:p>
        </w:tc>
      </w:tr>
      <w:tr>
        <w:trPr/>
        <w:tc>
          <w:tcPr>
            <w:tcW w:w="19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US Treasury securities</w:t>
            </w:r>
          </w:p>
        </w:tc>
        <w:tc>
          <w:tcPr>
            <w:tcW w:w="31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3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16,994,043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5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22,801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7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60,763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16,956,081</w:t>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31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3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16,994,043</w:t>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5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22,801</w:t>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7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60,763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16,956,081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At June 30, 2025, the debt securities were classified as held to maturity and the amortized cost and fair value are shown below:</w:t>
      </w:r>
    </w:p>
    <w:tbl>
      <w:tblPr>
        <w:tblW w:w="9495" w:type="dxa"/>
        <w:jc w:val="left"/>
        <w:tblInd w:w="0" w:type="dxa"/>
        <w:tblLayout w:type="fixed"/>
        <w:tblCellMar>
          <w:top w:w="0" w:type="dxa"/>
          <w:left w:w="0" w:type="dxa"/>
          <w:bottom w:w="0" w:type="dxa"/>
          <w:right w:w="0" w:type="dxa"/>
        </w:tblCellMar>
      </w:tblPr>
      <w:tblGrid>
        <w:gridCol w:w="1921"/>
        <w:gridCol w:w="312"/>
        <w:gridCol w:w="1533"/>
        <w:gridCol w:w="109"/>
        <w:gridCol w:w="484"/>
        <w:gridCol w:w="1556"/>
        <w:gridCol w:w="109"/>
        <w:gridCol w:w="689"/>
        <w:gridCol w:w="1381"/>
        <w:gridCol w:w="109"/>
        <w:gridCol w:w="211"/>
        <w:gridCol w:w="1081"/>
      </w:tblGrid>
      <w:tr>
        <w:trPr/>
        <w:tc>
          <w:tcPr>
            <w:tcW w:w="192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sz w:val="4"/>
                <w:szCs w:val="4"/>
              </w:rPr>
            </w:pPr>
            <w:r>
              <w:rPr>
                <w:sz w:val="4"/>
                <w:szCs w:val="4"/>
              </w:rPr>
            </w:r>
          </w:p>
        </w:tc>
        <w:tc>
          <w:tcPr>
            <w:tcW w:w="7574" w:type="dxa"/>
            <w:gridSpan w:val="11"/>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June 30, 2025</w:t>
            </w:r>
          </w:p>
        </w:tc>
      </w:tr>
      <w:tr>
        <w:trPr/>
        <w:tc>
          <w:tcPr>
            <w:tcW w:w="1921" w:type="dxa"/>
            <w:tcBorders/>
            <w:vAlign w:val="center"/>
          </w:tcPr>
          <w:p>
            <w:pPr>
              <w:pStyle w:val="TableContents"/>
              <w:bidi w:val="0"/>
              <w:spacing w:before="0" w:after="283"/>
              <w:jc w:val="left"/>
              <w:rPr>
                <w:sz w:val="4"/>
                <w:szCs w:val="4"/>
              </w:rPr>
            </w:pPr>
            <w:r>
              <w:rPr>
                <w:sz w:val="4"/>
                <w:szCs w:val="4"/>
              </w:rPr>
            </w:r>
          </w:p>
        </w:tc>
        <w:tc>
          <w:tcPr>
            <w:tcW w:w="184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Amortized cost basis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04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Gross unrealized gains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07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Gross unrealized losses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Fair Value</w:t>
            </w:r>
          </w:p>
        </w:tc>
      </w:tr>
      <w:tr>
        <w:trPr/>
        <w:tc>
          <w:tcPr>
            <w:tcW w:w="19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US Treasury securities</w:t>
            </w:r>
          </w:p>
        </w:tc>
        <w:tc>
          <w:tcPr>
            <w:tcW w:w="31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3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16,880,656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5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52,103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16,932,134</w:t>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31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3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16,880,656</w:t>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5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52,103</w:t>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16,932,134</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shd w:fill="FFFF00" w:val="clear"/>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tables summarize the fair value and amortized cost basis of the debt securities by contractual maturity as of March 31, 2026 and June 30, 2025:</w:t>
      </w:r>
    </w:p>
    <w:tbl>
      <w:tblPr>
        <w:tblW w:w="6427" w:type="dxa"/>
        <w:jc w:val="left"/>
        <w:tblInd w:w="0" w:type="dxa"/>
        <w:tblLayout w:type="fixed"/>
        <w:tblCellMar>
          <w:top w:w="0" w:type="dxa"/>
          <w:left w:w="0" w:type="dxa"/>
          <w:bottom w:w="0" w:type="dxa"/>
          <w:right w:w="0" w:type="dxa"/>
        </w:tblCellMar>
      </w:tblPr>
      <w:tblGrid>
        <w:gridCol w:w="3106"/>
        <w:gridCol w:w="325"/>
        <w:gridCol w:w="1595"/>
        <w:gridCol w:w="109"/>
        <w:gridCol w:w="211"/>
        <w:gridCol w:w="1081"/>
      </w:tblGrid>
      <w:tr>
        <w:trPr/>
        <w:tc>
          <w:tcPr>
            <w:tcW w:w="310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before="0" w:after="283"/>
              <w:jc w:val="left"/>
              <w:rPr>
                <w:sz w:val="4"/>
                <w:szCs w:val="4"/>
              </w:rPr>
            </w:pPr>
            <w:r>
              <w:rPr>
                <w:sz w:val="4"/>
                <w:szCs w:val="4"/>
              </w:rPr>
            </w:r>
          </w:p>
        </w:tc>
        <w:tc>
          <w:tcPr>
            <w:tcW w:w="3321"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March 31, 2026</w:t>
            </w:r>
          </w:p>
        </w:tc>
      </w:tr>
      <w:tr>
        <w:trPr/>
        <w:tc>
          <w:tcPr>
            <w:tcW w:w="3106" w:type="dxa"/>
            <w:tcBorders/>
            <w:vAlign w:val="center"/>
          </w:tcPr>
          <w:p>
            <w:pPr>
              <w:pStyle w:val="TableContents"/>
              <w:bidi w:val="0"/>
              <w:spacing w:before="0" w:after="283"/>
              <w:jc w:val="left"/>
              <w:rPr>
                <w:sz w:val="4"/>
                <w:szCs w:val="4"/>
              </w:rPr>
            </w:pPr>
            <w:r>
              <w:rPr>
                <w:sz w:val="4"/>
                <w:szCs w:val="4"/>
              </w:rPr>
            </w:r>
          </w:p>
        </w:tc>
        <w:tc>
          <w:tcPr>
            <w:tcW w:w="192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Amortized Cost Basis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Fair value</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Due within one year</w:t>
            </w:r>
          </w:p>
        </w:tc>
        <w:tc>
          <w:tcPr>
            <w:tcW w:w="32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8,990,789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9,013,590</w:t>
            </w:r>
          </w:p>
        </w:tc>
      </w:tr>
      <w:tr>
        <w:trPr/>
        <w:tc>
          <w:tcPr>
            <w:tcW w:w="31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Due after one year through five years</w:t>
            </w:r>
          </w:p>
        </w:tc>
        <w:tc>
          <w:tcPr>
            <w:tcW w:w="32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8,003,254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7,942,491</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3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16,994,043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16,956,081</w:t>
            </w:r>
          </w:p>
        </w:tc>
      </w:tr>
    </w:tbl>
    <w:tbl>
      <w:tblPr>
        <w:tblW w:w="6427" w:type="dxa"/>
        <w:jc w:val="left"/>
        <w:tblInd w:w="0" w:type="dxa"/>
        <w:tblLayout w:type="fixed"/>
        <w:tblCellMar>
          <w:top w:w="0" w:type="dxa"/>
          <w:left w:w="0" w:type="dxa"/>
          <w:bottom w:w="0" w:type="dxa"/>
          <w:right w:w="0" w:type="dxa"/>
        </w:tblCellMar>
      </w:tblPr>
      <w:tblGrid>
        <w:gridCol w:w="3106"/>
        <w:gridCol w:w="325"/>
        <w:gridCol w:w="1595"/>
        <w:gridCol w:w="109"/>
        <w:gridCol w:w="211"/>
        <w:gridCol w:w="1081"/>
      </w:tblGrid>
      <w:tr>
        <w:trPr/>
        <w:tc>
          <w:tcPr>
            <w:tcW w:w="310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before="0" w:after="283"/>
              <w:jc w:val="left"/>
              <w:rPr>
                <w:sz w:val="4"/>
                <w:szCs w:val="4"/>
              </w:rPr>
            </w:pPr>
            <w:r>
              <w:rPr>
                <w:sz w:val="4"/>
                <w:szCs w:val="4"/>
              </w:rPr>
            </w:r>
          </w:p>
        </w:tc>
        <w:tc>
          <w:tcPr>
            <w:tcW w:w="3321"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June 30, 2025</w:t>
            </w:r>
          </w:p>
        </w:tc>
      </w:tr>
      <w:tr>
        <w:trPr/>
        <w:tc>
          <w:tcPr>
            <w:tcW w:w="3106" w:type="dxa"/>
            <w:tcBorders/>
            <w:vAlign w:val="center"/>
          </w:tcPr>
          <w:p>
            <w:pPr>
              <w:pStyle w:val="TableContents"/>
              <w:bidi w:val="0"/>
              <w:spacing w:before="0" w:after="283"/>
              <w:jc w:val="left"/>
              <w:rPr>
                <w:sz w:val="4"/>
                <w:szCs w:val="4"/>
              </w:rPr>
            </w:pPr>
            <w:r>
              <w:rPr>
                <w:sz w:val="4"/>
                <w:szCs w:val="4"/>
              </w:rPr>
            </w:r>
          </w:p>
        </w:tc>
        <w:tc>
          <w:tcPr>
            <w:tcW w:w="192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Amortized Cost Basis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Fair value</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Due within one year</w:t>
            </w:r>
          </w:p>
        </w:tc>
        <w:tc>
          <w:tcPr>
            <w:tcW w:w="32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12,879,882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12,909,183</w:t>
            </w:r>
          </w:p>
        </w:tc>
      </w:tr>
      <w:tr>
        <w:trPr/>
        <w:tc>
          <w:tcPr>
            <w:tcW w:w="31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Due after one year through five years</w:t>
            </w:r>
          </w:p>
        </w:tc>
        <w:tc>
          <w:tcPr>
            <w:tcW w:w="32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4,000,774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4,022,951</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3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16,880,656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16,932,134</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    INVENTORIES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inventories were as follows:</w:t>
      </w:r>
    </w:p>
    <w:p>
      <w:pPr>
        <w:pStyle w:val="TextBody"/>
        <w:bidi w:val="0"/>
        <w:spacing w:lineRule="auto" w:line="259"/>
        <w:rPr>
          <w:caps w:val="false"/>
          <w:smallCaps w:val="false"/>
        </w:rPr>
      </w:pPr>
      <w:r>
        <w:rPr>
          <w:caps w:val="false"/>
          <w:smallCaps w:val="false"/>
        </w:rPr>
        <w:t> </w:t>
      </w:r>
    </w:p>
    <w:tbl>
      <w:tblPr>
        <w:tblW w:w="5480" w:type="dxa"/>
        <w:jc w:val="left"/>
        <w:tblInd w:w="0" w:type="dxa"/>
        <w:tblLayout w:type="fixed"/>
        <w:tblCellMar>
          <w:top w:w="0" w:type="dxa"/>
          <w:left w:w="0" w:type="dxa"/>
          <w:bottom w:w="0" w:type="dxa"/>
          <w:right w:w="0" w:type="dxa"/>
        </w:tblCellMar>
      </w:tblPr>
      <w:tblGrid>
        <w:gridCol w:w="2611"/>
        <w:gridCol w:w="240"/>
        <w:gridCol w:w="1200"/>
        <w:gridCol w:w="109"/>
        <w:gridCol w:w="213"/>
        <w:gridCol w:w="1107"/>
      </w:tblGrid>
      <w:tr>
        <w:trPr/>
        <w:tc>
          <w:tcPr>
            <w:tcW w:w="26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26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2611" w:type="dxa"/>
            <w:tcBorders/>
            <w:vAlign w:val="center"/>
          </w:tcPr>
          <w:p>
            <w:pPr>
              <w:pStyle w:val="TableContents"/>
              <w:bidi w:val="0"/>
              <w:spacing w:before="0" w:after="283"/>
              <w:jc w:val="left"/>
              <w:rPr>
                <w:sz w:val="4"/>
                <w:szCs w:val="4"/>
              </w:rPr>
            </w:pPr>
            <w:r>
              <w:rPr>
                <w:sz w:val="4"/>
                <w:szCs w:val="4"/>
              </w:rPr>
            </w:r>
          </w:p>
        </w:tc>
        <w:tc>
          <w:tcPr>
            <w:tcW w:w="144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June 30, 2025</w:t>
            </w:r>
          </w:p>
        </w:tc>
      </w:tr>
      <w:tr>
        <w:trPr/>
        <w:tc>
          <w:tcPr>
            <w:tcW w:w="2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Raw materials</w:t>
            </w:r>
          </w:p>
        </w:tc>
        <w:tc>
          <w:tcPr>
            <w:tcW w:w="24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1,849,337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1,966,662</w:t>
            </w:r>
          </w:p>
        </w:tc>
      </w:tr>
      <w:tr>
        <w:trPr/>
        <w:tc>
          <w:tcPr>
            <w:tcW w:w="2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Finished goods</w:t>
            </w:r>
          </w:p>
        </w:tc>
        <w:tc>
          <w:tcPr>
            <w:tcW w:w="24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4,788,779</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4,815,881</w:t>
            </w:r>
          </w:p>
        </w:tc>
      </w:tr>
      <w:tr>
        <w:trPr/>
        <w:tc>
          <w:tcPr>
            <w:tcW w:w="2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 gross</w:t>
            </w:r>
          </w:p>
        </w:tc>
        <w:tc>
          <w:tcPr>
            <w:tcW w:w="24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0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6,638,116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6,782,543</w:t>
            </w:r>
          </w:p>
        </w:tc>
      </w:tr>
      <w:tr>
        <w:trPr/>
        <w:tc>
          <w:tcPr>
            <w:tcW w:w="2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Reserve for obsolete inventory</w:t>
            </w:r>
          </w:p>
        </w:tc>
        <w:tc>
          <w:tcPr>
            <w:tcW w:w="24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(1,878,113)</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(1,897,476)</w:t>
            </w:r>
          </w:p>
        </w:tc>
      </w:tr>
      <w:tr>
        <w:trPr/>
        <w:tc>
          <w:tcPr>
            <w:tcW w:w="2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 net</w:t>
            </w:r>
          </w:p>
        </w:tc>
        <w:tc>
          <w:tcPr>
            <w:tcW w:w="24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4,760,003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4,885,067</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    INCOME TAXES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utilizes the liability method of accounting for income taxes. The liability method measures the expected income tax impact of future taxable income and deductions implicit in the condensed consolidated balance sheets. The Company’s income tax expense for the three and nine months ended March 31, 2026 and 2025 consisted of the following:</w:t>
      </w:r>
    </w:p>
    <w:tbl>
      <w:tblPr>
        <w:tblW w:w="6132" w:type="dxa"/>
        <w:jc w:val="left"/>
        <w:tblInd w:w="0" w:type="dxa"/>
        <w:tblLayout w:type="fixed"/>
        <w:tblCellMar>
          <w:top w:w="0" w:type="dxa"/>
          <w:left w:w="0" w:type="dxa"/>
          <w:bottom w:w="0" w:type="dxa"/>
          <w:right w:w="0" w:type="dxa"/>
        </w:tblCellMar>
      </w:tblPr>
      <w:tblGrid>
        <w:gridCol w:w="2326"/>
        <w:gridCol w:w="236"/>
        <w:gridCol w:w="640"/>
        <w:gridCol w:w="122"/>
        <w:gridCol w:w="236"/>
        <w:gridCol w:w="640"/>
        <w:gridCol w:w="109"/>
        <w:gridCol w:w="211"/>
        <w:gridCol w:w="571"/>
        <w:gridCol w:w="109"/>
        <w:gridCol w:w="211"/>
        <w:gridCol w:w="721"/>
      </w:tblGrid>
      <w:tr>
        <w:trPr/>
        <w:tc>
          <w:tcPr>
            <w:tcW w:w="232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sz w:val="4"/>
                <w:szCs w:val="4"/>
              </w:rPr>
            </w:pPr>
            <w:r>
              <w:rPr>
                <w:sz w:val="4"/>
                <w:szCs w:val="4"/>
              </w:rPr>
            </w:r>
          </w:p>
        </w:tc>
        <w:tc>
          <w:tcPr>
            <w:tcW w:w="1874"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82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Nine Months Ended</w:t>
            </w:r>
          </w:p>
        </w:tc>
      </w:tr>
      <w:tr>
        <w:trPr/>
        <w:tc>
          <w:tcPr>
            <w:tcW w:w="2326" w:type="dxa"/>
            <w:tcBorders/>
            <w:vAlign w:val="center"/>
          </w:tcPr>
          <w:p>
            <w:pPr>
              <w:pStyle w:val="TableContents"/>
              <w:bidi w:val="0"/>
              <w:spacing w:before="0" w:after="283"/>
              <w:jc w:val="left"/>
              <w:rPr>
                <w:sz w:val="4"/>
                <w:szCs w:val="4"/>
              </w:rPr>
            </w:pPr>
            <w:r>
              <w:rPr>
                <w:sz w:val="4"/>
                <w:szCs w:val="4"/>
              </w:rPr>
            </w:r>
          </w:p>
        </w:tc>
        <w:tc>
          <w:tcPr>
            <w:tcW w:w="1874"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82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March 31,</w:t>
            </w:r>
          </w:p>
        </w:tc>
      </w:tr>
      <w:tr>
        <w:trPr/>
        <w:tc>
          <w:tcPr>
            <w:tcW w:w="23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2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23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Federal</w:t>
            </w:r>
          </w:p>
        </w:tc>
        <w:tc>
          <w:tcPr>
            <w:tcW w:w="2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0"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707</w:t>
            </w:r>
          </w:p>
        </w:tc>
      </w:tr>
      <w:tr>
        <w:trPr/>
        <w:tc>
          <w:tcPr>
            <w:tcW w:w="23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w:t>
            </w:r>
          </w:p>
        </w:tc>
        <w:tc>
          <w:tcPr>
            <w:tcW w:w="2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1,825</w:t>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5,204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7,345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10,724</w:t>
            </w:r>
          </w:p>
        </w:tc>
      </w:tr>
      <w:tr>
        <w:trPr/>
        <w:tc>
          <w:tcPr>
            <w:tcW w:w="23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40"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40"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3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income tax provision</w:t>
            </w:r>
          </w:p>
        </w:tc>
        <w:tc>
          <w:tcPr>
            <w:tcW w:w="2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1,825</w:t>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7,345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11,431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All income is derived from domestic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both the three and nine months ended March 31, 2026, the effective tax rate was less than 1%. The effective tax rate for the three and nine months ended March 31, 2025 was 1.9% and 1.8%, respectively. It is anticipated that the effective rate in future years will continue to be reduced by utilization of a portion or all of the available federal and state NOL carryforwards that existed as of June 30,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effective tax rate for the current quarter differs from the U.S. federal statutory rate of 21% primarily due to:</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State income taxes, net of federal benefit</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Officer life insurance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Non-deductible meals and entertainment expense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Research and development tax credits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Nondeductible stock options expense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Changes in valuation allowances on deferred tax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br/>
        <w:t>‎The Company will provide the enhanced annual disclosures required by ASU 2023-09, including the detailed rate reconciliation and jurisdictional income taxes paid, in its Form 10-K for the year ending June 30, 2026.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 material changes in uncertain tax positions or valuation allowances were recorded during the three- and nine-month periods ended March 31, 2026 or 2025.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    CREDIT FACILITY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May 14, 2019, the Company entered into a secured credit facility (“Credit Agreement”) with Town Bank (“Lender”). The Credit Agreement provides for a $5,000,000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revolving secured credit facility for letters of credit for the benefit of the Company of up to a sublimit of $1,000,000. There are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unused line fees in the credit facility. On January 28, 2021, the Credit Agreement was amended to change the interest rate to Wall Street Journal Prime less 1.50%. An amendment to the Credit Agreement effective October 30, 2024, extended the maturity date to October 31, 2026, and removed one of the covenants requiring submission of annual financial performance projections to the Lender. The Company and the Lender also entered into a General Business Security Agreement dated May 14, 2019 under which the Company granted the Lender a security interest in substantially all of the Company’s assets in connection with the Company’s obligations under the Credit Agreement. The Credit Agreement contains certain affirmative and negative covenants customary for financings of this type. The negative covenants include restrictions on other indebtedness, liens, fundamental changes, certain investments, disposition of assets, mergers and liquidations, among other restrictions. As of March 31, 2026, the Company was in compliance with all covenants related to the Credit Agreement. As of March 31, 2026 and June 30, 2025,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outstanding borrowings on the facility.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    REVENUE RECOGNITION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disaggregates its net sales by geographical location as it believes it best depicts how the nature, timing and uncertainty of net sales and cash flows are affected by economic factors. The following table summarizes net sales by geographical location:</w:t>
      </w:r>
    </w:p>
    <w:p>
      <w:pPr>
        <w:pStyle w:val="TextBody"/>
        <w:bidi w:val="0"/>
        <w:spacing w:lineRule="auto" w:line="259"/>
        <w:rPr>
          <w:caps w:val="false"/>
          <w:smallCaps w:val="false"/>
        </w:rPr>
      </w:pPr>
      <w:r>
        <w:rPr>
          <w:caps w:val="false"/>
          <w:smallCaps w:val="false"/>
        </w:rPr>
        <w:t> </w:t>
      </w:r>
    </w:p>
    <w:tbl>
      <w:tblPr>
        <w:tblW w:w="6141" w:type="dxa"/>
        <w:jc w:val="left"/>
        <w:tblInd w:w="0" w:type="dxa"/>
        <w:tblLayout w:type="fixed"/>
        <w:tblCellMar>
          <w:top w:w="0" w:type="dxa"/>
          <w:left w:w="0" w:type="dxa"/>
          <w:bottom w:w="0" w:type="dxa"/>
          <w:right w:w="0" w:type="dxa"/>
        </w:tblCellMar>
      </w:tblPr>
      <w:tblGrid>
        <w:gridCol w:w="1201"/>
        <w:gridCol w:w="211"/>
        <w:gridCol w:w="931"/>
        <w:gridCol w:w="109"/>
        <w:gridCol w:w="211"/>
        <w:gridCol w:w="931"/>
        <w:gridCol w:w="109"/>
        <w:gridCol w:w="211"/>
        <w:gridCol w:w="931"/>
        <w:gridCol w:w="109"/>
        <w:gridCol w:w="211"/>
        <w:gridCol w:w="976"/>
      </w:tblGrid>
      <w:tr>
        <w:trPr/>
        <w:tc>
          <w:tcPr>
            <w:tcW w:w="1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283"/>
              <w:jc w:val="left"/>
              <w:rPr>
                <w:sz w:val="4"/>
                <w:szCs w:val="4"/>
              </w:rPr>
            </w:pPr>
            <w:r>
              <w:rPr>
                <w:sz w:val="4"/>
                <w:szCs w:val="4"/>
              </w:rPr>
            </w:r>
          </w:p>
        </w:tc>
        <w:tc>
          <w:tcPr>
            <w:tcW w:w="239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43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Nine Months Ended</w:t>
            </w:r>
          </w:p>
        </w:tc>
      </w:tr>
      <w:tr>
        <w:trPr/>
        <w:tc>
          <w:tcPr>
            <w:tcW w:w="1201" w:type="dxa"/>
            <w:tcBorders/>
            <w:vAlign w:val="center"/>
          </w:tcPr>
          <w:p>
            <w:pPr>
              <w:pStyle w:val="TableContents"/>
              <w:bidi w:val="0"/>
              <w:spacing w:before="0" w:after="283"/>
              <w:jc w:val="left"/>
              <w:rPr>
                <w:sz w:val="4"/>
                <w:szCs w:val="4"/>
              </w:rPr>
            </w:pPr>
            <w:r>
              <w:rPr>
                <w:sz w:val="4"/>
                <w:szCs w:val="4"/>
              </w:rPr>
            </w:r>
          </w:p>
        </w:tc>
        <w:tc>
          <w:tcPr>
            <w:tcW w:w="239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243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March 31,</w:t>
            </w:r>
          </w:p>
        </w:tc>
      </w:tr>
      <w:tr>
        <w:trPr/>
        <w:tc>
          <w:tcPr>
            <w:tcW w:w="1201" w:type="dxa"/>
            <w:tcBorders/>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1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States</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2,443,633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2,169,252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8,014,473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6,518,157</w:t>
            </w:r>
          </w:p>
        </w:tc>
      </w:tr>
      <w:tr>
        <w:trPr/>
        <w:tc>
          <w:tcPr>
            <w:tcW w:w="1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Export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381,130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611,754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1,742,447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3,021,803</w:t>
            </w:r>
          </w:p>
        </w:tc>
      </w:tr>
      <w:tr>
        <w:trPr/>
        <w:tc>
          <w:tcPr>
            <w:tcW w:w="1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2,824,763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2,781,006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9,756,920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9,539,960</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Deferred revenue relates primarily to consumer and customer warranties. These constitute future performance obligations, and the Company defers revenue related to these future performance obligations. Effective July 1, 2023, the Company increased its deferral rates from 2.4% to 3% for domestic sales and decreased its deferral rate from 10% to 8% for export sales to reflect recent warranty experience. In the nine months ended March 31, 2026 and 2025, the Company recognized revenue, which was included in the deferred revenue liability at the beginning of those periods of $203,348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$192,592, respectively, for performance obligations related to consumer and customer warranties. The Company estimates that the deferred revenue performance obligations are satisfied within one 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three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therefore uses that same timeframe for recognition of the deferred revenue.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 LOSS PER COMMON AND COMMON STOCK EQUIVALENT SHARE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 loss per common share is computed based on the weighted-average number of common shares outstanding. Diluted loss per common share is calculated assuming the exercise of stock options except where the result would be anti-dilutive. The following table reconciles the numerator and denominator used to calculate basic and diluted loss per share:</w:t>
      </w:r>
    </w:p>
    <w:tbl>
      <w:tblPr>
        <w:tblW w:w="10205" w:type="dxa"/>
        <w:jc w:val="left"/>
        <w:tblInd w:w="0" w:type="dxa"/>
        <w:tblLayout w:type="fixed"/>
        <w:tblCellMar>
          <w:top w:w="0" w:type="dxa"/>
          <w:left w:w="0" w:type="dxa"/>
          <w:bottom w:w="0" w:type="dxa"/>
          <w:right w:w="0" w:type="dxa"/>
        </w:tblCellMar>
      </w:tblPr>
      <w:tblGrid>
        <w:gridCol w:w="4594"/>
        <w:gridCol w:w="245"/>
        <w:gridCol w:w="1084"/>
        <w:gridCol w:w="126"/>
        <w:gridCol w:w="245"/>
        <w:gridCol w:w="1084"/>
        <w:gridCol w:w="109"/>
        <w:gridCol w:w="234"/>
        <w:gridCol w:w="1036"/>
        <w:gridCol w:w="120"/>
        <w:gridCol w:w="234"/>
        <w:gridCol w:w="1094"/>
      </w:tblGrid>
      <w:tr>
        <w:trPr/>
        <w:tc>
          <w:tcPr>
            <w:tcW w:w="459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459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4594" w:type="dxa"/>
            <w:tcBorders/>
            <w:vAlign w:val="center"/>
          </w:tcPr>
          <w:p>
            <w:pPr>
              <w:pStyle w:val="TableContents"/>
              <w:bidi w:val="0"/>
              <w:spacing w:before="0" w:after="283"/>
              <w:jc w:val="left"/>
              <w:rPr>
                <w:sz w:val="4"/>
                <w:szCs w:val="4"/>
              </w:rPr>
            </w:pPr>
            <w:r>
              <w:rPr>
                <w:sz w:val="4"/>
                <w:szCs w:val="4"/>
              </w:rPr>
            </w:r>
          </w:p>
        </w:tc>
        <w:tc>
          <w:tcPr>
            <w:tcW w:w="2784"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71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Nine Months Ended March 31,</w:t>
            </w:r>
          </w:p>
        </w:tc>
      </w:tr>
      <w:tr>
        <w:trPr/>
        <w:tc>
          <w:tcPr>
            <w:tcW w:w="4594" w:type="dxa"/>
            <w:tcBorders/>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2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459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Numerator</w:t>
            </w:r>
          </w:p>
        </w:tc>
        <w:tc>
          <w:tcPr>
            <w:tcW w:w="24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5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245"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(546,587)</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245"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(316,742)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4"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(868,265)</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234"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(642,135)</w:t>
            </w:r>
          </w:p>
        </w:tc>
      </w:tr>
      <w:tr>
        <w:trPr/>
        <w:tc>
          <w:tcPr>
            <w:tcW w:w="4594"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59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Denominator</w:t>
            </w:r>
          </w:p>
        </w:tc>
        <w:tc>
          <w:tcPr>
            <w:tcW w:w="245"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45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 average shares, basic</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08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9,466,438</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08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9,375,795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9,461,730</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9,346,952</w:t>
            </w:r>
          </w:p>
        </w:tc>
      </w:tr>
      <w:tr>
        <w:trPr/>
        <w:tc>
          <w:tcPr>
            <w:tcW w:w="45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Dilutive effect of stock compensation awards (1)</w:t>
            </w:r>
          </w:p>
        </w:tc>
        <w:tc>
          <w:tcPr>
            <w:tcW w:w="24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4"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4"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4"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45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 shares</w:t>
            </w:r>
          </w:p>
        </w:tc>
        <w:tc>
          <w:tcPr>
            <w:tcW w:w="24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8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9,466,438</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8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9,375,795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9,461,730</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9,346,952</w:t>
            </w:r>
          </w:p>
        </w:tc>
      </w:tr>
      <w:tr>
        <w:trPr/>
        <w:tc>
          <w:tcPr>
            <w:tcW w:w="4594" w:type="dxa"/>
            <w:tcBorders/>
            <w:vAlign w:val="center"/>
          </w:tcPr>
          <w:p>
            <w:pPr>
              <w:pStyle w:val="TableContents"/>
              <w:bidi w:val="0"/>
              <w:spacing w:before="0" w:after="283"/>
              <w:jc w:val="left"/>
              <w:rPr>
                <w:sz w:val="4"/>
                <w:szCs w:val="4"/>
              </w:rPr>
            </w:pPr>
            <w:r>
              <w:rPr>
                <w:sz w:val="4"/>
                <w:szCs w:val="4"/>
              </w:rPr>
            </w:r>
          </w:p>
        </w:tc>
        <w:tc>
          <w:tcPr>
            <w:tcW w:w="24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4"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4"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4"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5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 attributable to common shareholders per share:</w:t>
            </w:r>
          </w:p>
        </w:tc>
        <w:tc>
          <w:tcPr>
            <w:tcW w:w="245"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45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w:t>
            </w:r>
          </w:p>
        </w:tc>
        <w:tc>
          <w:tcPr>
            <w:tcW w:w="2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(0.06)</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2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(0.09)</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23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(0.07)</w:t>
            </w:r>
          </w:p>
        </w:tc>
      </w:tr>
      <w:tr>
        <w:trPr/>
        <w:tc>
          <w:tcPr>
            <w:tcW w:w="45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w:t>
            </w:r>
          </w:p>
        </w:tc>
        <w:tc>
          <w:tcPr>
            <w:tcW w:w="2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(0.06)</w:t>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(0.03)</w:t>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(0.09)</w:t>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(0.07)</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(1) Weighted average stock options excluded during the three months ended March 31, 2026 and 2025 and the nine months ended March 31, 2026 and 2025 due to anti-dilution were 77,889, 354,000, 91,414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401,884, respectively.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    RELATED PARTY TRANSACTIONS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leases its facility in Milwaukee, Wisconsin from Koss Holdings, LLC, which is controlled by five equal ownership interests in trusts held by the five beneficiaries of a former chairman’s revocable trust and includes current stockholders of the Company. On May 24, 2022, the lease was renewed for a period of five years, ending June 30, 2028, and is being accounted for as an operating lease. The lease extension maintained the rent at a fixed rate of $380,000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 year and included an option to renew at an increased rate of $397,000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an additional five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ending June 30, 2033. The negotiated increase in rent slated for 2028 will be the first increase in rent since 1996. The Company is responsible for all property maintenance, insurance, taxes and other normal expenses related to ownership.</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    ACCOUNTS RECEIVABLE CONCENTRATIONS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March 31, 2026, three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the Company’s customers each represented more than 10% of total accounts receivable, and collectively these customers accounted for approximately 45% of total accounts receivable (16%, 16% and 13%, respectively). At June 30, 2025, three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customers each represented more than 10% of total accounts receivable (16%, 13% and 11%, respectively), comprising approximately 40% of total accounts receivable.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   SEGMENT INFORMATION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has a single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reportable segment, the design, manufacture and sale of headphones and related accessories, which reflects the manner in which the Company’s Chief Executive Officer, who is the Company’s chief operating decision maker (“CODM”), regularly reviews financial information to manage the business, allocate resources and assess performance. The headphones are sold through retailers and distributors both domestically and internationally, as well as direct-to-consumer.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CODM regularly reviews revenue, certain significant expense categories, net loss and select balance sheet items in evaluating segment performance. The significant segment expense categories and other segment items provided to the CODM and included in the measure of segment profit or loss are presented below. </w:t>
      </w:r>
    </w:p>
    <w:tbl>
      <w:tblPr>
        <w:tblW w:w="9265" w:type="dxa"/>
        <w:jc w:val="left"/>
        <w:tblInd w:w="0" w:type="dxa"/>
        <w:tblLayout w:type="fixed"/>
        <w:tblCellMar>
          <w:top w:w="0" w:type="dxa"/>
          <w:left w:w="0" w:type="dxa"/>
          <w:bottom w:w="0" w:type="dxa"/>
          <w:right w:w="0" w:type="dxa"/>
        </w:tblCellMar>
      </w:tblPr>
      <w:tblGrid>
        <w:gridCol w:w="4201"/>
        <w:gridCol w:w="109"/>
        <w:gridCol w:w="211"/>
        <w:gridCol w:w="931"/>
        <w:gridCol w:w="109"/>
        <w:gridCol w:w="211"/>
        <w:gridCol w:w="931"/>
        <w:gridCol w:w="109"/>
        <w:gridCol w:w="211"/>
        <w:gridCol w:w="931"/>
        <w:gridCol w:w="109"/>
        <w:gridCol w:w="226"/>
        <w:gridCol w:w="976"/>
      </w:tblGrid>
      <w:tr>
        <w:trPr/>
        <w:tc>
          <w:tcPr>
            <w:tcW w:w="4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45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Nine Months Ended</w:t>
            </w:r>
          </w:p>
        </w:tc>
      </w:tr>
      <w:tr>
        <w:trPr/>
        <w:tc>
          <w:tcPr>
            <w:tcW w:w="4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245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March 31,</w:t>
            </w:r>
          </w:p>
        </w:tc>
      </w:tr>
      <w:tr>
        <w:trPr/>
        <w:tc>
          <w:tcPr>
            <w:tcW w:w="42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420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2,824,763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2,781,006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9,756,920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Calibri" w:hAnsi="Calibri"/>
                <w:b w:val="false"/>
                <w:i w:val="false"/>
                <w:caps w:val="false"/>
                <w:smallCaps w:val="false"/>
                <w:sz w:val="22"/>
              </w:rPr>
            </w:pPr>
            <w:r>
              <w:rPr>
                <w:rFonts w:ascii="Calibri" w:hAnsi="Calibri"/>
                <w:b w:val="false"/>
                <w:i w:val="false"/>
                <w:caps w:val="false"/>
                <w:smallCaps w:val="false"/>
                <w:sz w:val="22"/>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9,539,960</w:t>
            </w:r>
          </w:p>
        </w:tc>
      </w:tr>
      <w:tr>
        <w:trPr/>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1,822,002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1,696,334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6,294,661</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5,877,405</w:t>
            </w:r>
          </w:p>
        </w:tc>
      </w:tr>
      <w:tr>
        <w:trPr/>
        <w:tc>
          <w:tcPr>
            <w:tcW w:w="4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 margin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38.4%</w:t>
            </w:r>
          </w:p>
        </w:tc>
      </w:tr>
      <w:tr>
        <w:trPr/>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product certification and compliance testing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31,075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91,997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50,326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182,967</w:t>
            </w:r>
          </w:p>
        </w:tc>
      </w:tr>
      <w:tr>
        <w:trPr/>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Legal and professional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257,269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201,833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904,642</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759,135</w:t>
            </w:r>
          </w:p>
        </w:tc>
      </w:tr>
      <w:tr>
        <w:trPr/>
        <w:tc>
          <w:tcPr>
            <w:tcW w:w="4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compensation expense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14,016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219,646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148,681</w:t>
            </w:r>
          </w:p>
        </w:tc>
      </w:tr>
      <w:tr>
        <w:trPr/>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1,434,151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1,295,832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4,067,394</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3,869,695</w:t>
            </w:r>
          </w:p>
        </w:tc>
      </w:tr>
      <w:tr>
        <w:trPr/>
        <w:tc>
          <w:tcPr>
            <w:tcW w:w="4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1,721,892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1,603,678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5,242,008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4,960,478</w:t>
            </w:r>
          </w:p>
        </w:tc>
      </w:tr>
      <w:tr>
        <w:trPr/>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(546,587)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(316,742)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(868,265)</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(642,135)</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Segment net loss includes interest income, other income, interest expense and income taxes.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CODM also reviews the following balance sheet items at period-end as part of performance monitoring and resource allocation decisions:</w:t>
      </w:r>
    </w:p>
    <w:tbl>
      <w:tblPr>
        <w:tblW w:w="6384" w:type="dxa"/>
        <w:jc w:val="left"/>
        <w:tblInd w:w="0" w:type="dxa"/>
        <w:tblLayout w:type="fixed"/>
        <w:tblCellMar>
          <w:top w:w="0" w:type="dxa"/>
          <w:left w:w="0" w:type="dxa"/>
          <w:bottom w:w="0" w:type="dxa"/>
          <w:right w:w="0" w:type="dxa"/>
        </w:tblCellMar>
      </w:tblPr>
      <w:tblGrid>
        <w:gridCol w:w="3406"/>
        <w:gridCol w:w="109"/>
        <w:gridCol w:w="243"/>
        <w:gridCol w:w="1197"/>
        <w:gridCol w:w="109"/>
        <w:gridCol w:w="215"/>
        <w:gridCol w:w="1105"/>
      </w:tblGrid>
      <w:tr>
        <w:trPr/>
        <w:tc>
          <w:tcPr>
            <w:tcW w:w="3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r>
      <w:tr>
        <w:trPr/>
        <w:tc>
          <w:tcPr>
            <w:tcW w:w="340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As of </w:t>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June 30, 2025</w:t>
            </w:r>
          </w:p>
        </w:tc>
      </w:tr>
      <w:tr>
        <w:trPr/>
        <w:tc>
          <w:tcPr>
            <w:tcW w:w="340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9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1,901,466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2,807,797</w:t>
            </w:r>
          </w:p>
        </w:tc>
      </w:tr>
      <w:tr>
        <w:trPr/>
        <w:tc>
          <w:tcPr>
            <w:tcW w:w="34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Available-for-sale investments</w:t>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16,956,081</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34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Short term investments, held-to-maturity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c>
          <w:tcPr>
            <w:tcW w:w="1197"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11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12,879,882</w:t>
            </w:r>
          </w:p>
        </w:tc>
      </w:tr>
      <w:tr>
        <w:trPr/>
        <w:tc>
          <w:tcPr>
            <w:tcW w:w="34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4,760,003</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4,885,067</w:t>
            </w:r>
          </w:p>
        </w:tc>
      </w:tr>
      <w:tr>
        <w:trPr/>
        <w:tc>
          <w:tcPr>
            <w:tcW w:w="34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 term investments, held-to-maturity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c>
          <w:tcPr>
            <w:tcW w:w="1197"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11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4,000,774</w:t>
            </w:r>
          </w:p>
        </w:tc>
      </w:tr>
      <w:tr>
        <w:trPr/>
        <w:tc>
          <w:tcPr>
            <w:tcW w:w="34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segment assets</w:t>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36,058,652</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37,184,609</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applied the provisions of ASU 2023-07 retrospectively and has included comparative information for the three and nine months ended March 31, 2025 for statement of operations items. Because the Company operates as a single reportable segment, the amounts above reconcile directly to the corresponding condensed consolidated financial statement line items. There was no impact on previously reported consolidated net loss, financial position or cash flows.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    LEGAL MATTERS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of March 31, 2026, the Company is involved in the matters described below: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Company maintains a program focused on enforcing its intellectual property and, in particular, certain patents in its patent portfolio. As part of this program, the Company filed complaints against certain parties alleging infringement on the Company’s patents relating to its wireless audio technology. </w:t>
      </w:r>
      <w:r>
        <w:rPr>
          <w:rFonts w:ascii="Times New Roman;serif" w:hAnsi="Times New Roman;serif"/>
          <w:b w:val="false"/>
          <w:i w:val="false"/>
          <w:caps w:val="false"/>
          <w:smallCaps w:val="false"/>
          <w:color w:val="000000"/>
          <w:sz w:val="20"/>
        </w:rPr>
        <w:t xml:space="preserve">In the event that a monetary award or judgment is received by the Company in connection with these complaints, all or portions of such amounts, such as contingent legal fees, will be due to third parties. The Company may incur additional fees and costs related to these lawsuits, however, timing and impact on its condensed financial statements is uncertain. Depending on the response to and the underlying results of the enforcement program, the Company may continue to litigate its claims, enter into licensing arrangements or reach some other outcome potentially advantageous to its competitive position.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ultimate resolution of these matters is not determinable unless otherwise noted.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patent infringement lawsuit between the Company and Skullcandy Inc. is in the appeal stage after a federal judge in Utah dismissed the case with prejudice on March 25, 2026. This lawsuit is the last remaining case in a series of litigation initiated by the Company against major headphone manufacturers in 2020.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On November 20, 2025, the Company resolved its lawsuit against PEAG, LLC d/b/a JLab Audio and granted a license covering certain of its patents. Gross proceeds of $250,000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were recognized and recorded as other income during the nine months ended March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31, 2026. Total contingent legal fees and related expenses of $250,000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offset these proceeds and were recorded as a selling, general and administrative expense during the nine months ended March 31, 2026.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early fiscal 2020, the Company was notified by One-E-Way, Inc. (“One-E-Way”) that some of the Company's wireless products may infringe on certain One-E-Way patents. A Supplemental Notice of Infringement was served on the Company on March 18, 2025 and the complaint was resolved in September 2025. The matter was resolved at a cost of $22,200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had been adequately accrued for as of June 30, 2025.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is also subject to a variety of other claims and suits that arise from time to time in the ordinary course of its business. Although management currently believes that resolving these claims against the Company, individually or in the aggregate, will not have a material adverse impact on its condensed consolidated financial statements, these matters are subject to inherent uncertainties and management’s view of these matters may change in the future.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CAUTIONARY STATEMENT REGARDING FORWARD-LOOKING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Quarterly Report on Form 10-Q (“Form 10-Q”) contains forward-looking statements within the meaning of that term in the Private Securities Litigation Reform Act of 1995 (the “Act”) (Section 27A of the Securities Act of 1933 and Section 21E of the Securities Exchange Act of 1934). Additional written or oral forward-looking statements may be made by the Company from time to time in filings with the Securities Exchange Commission, press releases, or otherwise. Statements contained in this Form 10-Q that are not historical facts are forward-looking statements made pursuant to the safe harbor provisions of the Act. Forward-looking statements may include, but are not limited to, projections of revenue, income or loss and capital expenditures, statements regarding future operations, anticipated financing needs, compliance with financial covenants in loan agreements, plans for acquisitions or sales of assets or businesses, plans relating to products or services of the Company, assessments of materiality, predictions of future events, the effects of pending and possible litigation and assumptions relating to the foregoing.  In addition, when used in this Form 10-Q, the words “anticipates,” “believes,” “estimates,” “expects,” “intends,” “plans,” “may,” “will,” “shall,” “should,” “could,” “would,” “forecasts,” “predicts,” “potential,” “continue”, “seeks”, “goal”, “projects” and variations thereof and similar expressions are intended to identify forward-looking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are inherently subject to risks and uncertainties, some of which cannot be predicted or quantified based on current expectations. Consequently, future events and actual results could differ materially from those set forth in, contemplated by, or underlying the forward-looking statements contained in this Form 10-Q, or in other Company filings, press releases, or otherwise. In addition to the factors discussed in this Form 10-Q, other factors that could contribute to or cause such differences include, but are not limited to, developments in any one or more of the following areas: continued future fluctuations in economic conditions; the Company’s ability to successfully develop new products and assess potential market opportunities; the receptivity of consumers to new consumer electronics technologies; the Company’s ability to successfully and profitably market its products; the rate and consumer acceptance of new product introductions; the amount and nature of competition for the Company’s products; pricing; the number and nature of customers and their product orders; the Company’s ability to meet demand for products; production by third party vendors; foreign manufacturing, sourcing, and sales (including foreign government regulation, trade and importation concerns); uncertainties associated with the pandemics and other health crises or natural disasters, including their possible effects on the Company’s operations and its supply chain; trade tensions between the U.S. and China given recently enacted tariffs and their uncertainty; the impact of the ongoing conflicts in Eastern Europe and the instability and escalation in the Middle East on the Company’s operations; the effects of any judicial, executive or legislative action affecting the Company or the audio/video industry; borrowing costs; changes in tax rates; the outcome of any litigation, government investigations, enforcement actions or other legal proceedings; the Company’s ability to retain and hire key personnel and other risk factors described in the Risk Factors and in Management’s Discussion and Analysis of Financial Condition and Results of Operations sections of the Company’s Annual Report on Form 10-K for the fiscal year ended June 30, 2025 and subsequently filed Quarterly Reports on Form 10-Q.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Readers are cautioned not to place undue reliance on any forward-looking statements contained herein, which speak only as of the date hereof. The Company undertakes no obligation to publicly release the result of any revisions to these forward-looking statements that may be made to reflect events or circumstances after the date hereof or to reflect new information.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 </w:t>
      </w:r>
      <w:r>
        <w:rPr>
          <w:rFonts w:ascii="Times New Roman;serif" w:hAnsi="Times New Roman;serif"/>
          <w:b/>
          <w:i w:val="false"/>
          <w:caps w:val="false"/>
          <w:smallCaps w:val="false"/>
          <w:color w:val="000000"/>
          <w:sz w:val="20"/>
        </w:rPr>
        <w:t>Item 2.    Management’s Discussion and Analysis of Financial Condition and Results of Operations</w:t>
      </w:r>
      <w:bookmarkStart w:id="12" w:name="MDAA"/>
      <w:bookmarkEnd w:id="12"/>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supplements our management’s discussion and analysis for the year ended June 30, 2025 as contained in our Annual Report on Form 10-K filed with the Securities and Exchange Commission on August 29, 2025, and presumes that readers have read or have access to such discussion and analysis. The following discussion and analysis should also be read together with the unaudited consolidated financial statements and the related notes thereto included elsewhere in this Quarterly Report on Form 10-Q. This discussion contains forward-looking statements that reflect our plans and strategy for our business and involve risks and uncertainties. You should review the “Risk Factors” section of our Annual Report on Form 10-K for the fiscal year ended June 30, 2025, as updated by subsequent filings with the Securities and Exchange Commission, for a discussion of important factors that could cause actual results to differ materially from the results described in or implied by the forward-looking statements contained in the following discussion and analysis. You should carefully read “Cautionary Statement Regarding Forward-Looking Statements” in this Quarterly Report on Form 10-Q.</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Overview</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initially developed stereo headphones in 1958 and has been recognized as a leader in the industry ever since. Koss markets a complete line of high-fidelity headphones, wireless Bluetooth® headphones, wireless Bluetooth® speakers, computer headsets, telecommunications headsets, and active noise canceling headphones. The Company operates as one business segment, as its principal business line is the design, manufacture and sale of stereo headphones and related accessories.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Financial Results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selected financial data for the three and nine months ended March 31, 2026 and 2025:</w:t>
      </w:r>
    </w:p>
    <w:tbl>
      <w:tblPr>
        <w:tblW w:w="10101" w:type="dxa"/>
        <w:jc w:val="left"/>
        <w:tblInd w:w="0" w:type="dxa"/>
        <w:tblLayout w:type="fixed"/>
        <w:tblCellMar>
          <w:top w:w="0" w:type="dxa"/>
          <w:left w:w="0" w:type="dxa"/>
          <w:bottom w:w="0" w:type="dxa"/>
          <w:right w:w="0" w:type="dxa"/>
        </w:tblCellMar>
      </w:tblPr>
      <w:tblGrid>
        <w:gridCol w:w="5161"/>
        <w:gridCol w:w="211"/>
        <w:gridCol w:w="931"/>
        <w:gridCol w:w="109"/>
        <w:gridCol w:w="211"/>
        <w:gridCol w:w="931"/>
        <w:gridCol w:w="109"/>
        <w:gridCol w:w="211"/>
        <w:gridCol w:w="931"/>
        <w:gridCol w:w="109"/>
        <w:gridCol w:w="211"/>
        <w:gridCol w:w="976"/>
      </w:tblGrid>
      <w:tr>
        <w:trPr/>
        <w:tc>
          <w:tcPr>
            <w:tcW w:w="5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5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5161" w:type="dxa"/>
            <w:tcBorders/>
            <w:vAlign w:val="center"/>
          </w:tcPr>
          <w:p>
            <w:pPr>
              <w:pStyle w:val="TableContents"/>
              <w:bidi w:val="0"/>
              <w:spacing w:before="0" w:after="283"/>
              <w:jc w:val="left"/>
              <w:rPr>
                <w:sz w:val="4"/>
                <w:szCs w:val="4"/>
              </w:rPr>
            </w:pPr>
            <w:r>
              <w:rPr>
                <w:sz w:val="4"/>
                <w:szCs w:val="4"/>
              </w:rPr>
            </w:r>
          </w:p>
        </w:tc>
        <w:tc>
          <w:tcPr>
            <w:tcW w:w="239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43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Nine Months Ended</w:t>
            </w:r>
          </w:p>
        </w:tc>
      </w:tr>
      <w:tr>
        <w:trPr/>
        <w:tc>
          <w:tcPr>
            <w:tcW w:w="5161" w:type="dxa"/>
            <w:tcBorders/>
            <w:vAlign w:val="center"/>
          </w:tcPr>
          <w:p>
            <w:pPr>
              <w:pStyle w:val="TableContents"/>
              <w:bidi w:val="0"/>
              <w:spacing w:before="0" w:after="283"/>
              <w:jc w:val="left"/>
              <w:rPr>
                <w:sz w:val="4"/>
                <w:szCs w:val="4"/>
              </w:rPr>
            </w:pPr>
            <w:r>
              <w:rPr>
                <w:sz w:val="4"/>
                <w:szCs w:val="4"/>
              </w:rPr>
            </w:r>
          </w:p>
        </w:tc>
        <w:tc>
          <w:tcPr>
            <w:tcW w:w="239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243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March 31</w:t>
            </w:r>
          </w:p>
        </w:tc>
      </w:tr>
      <w:tr>
        <w:trPr/>
        <w:tc>
          <w:tcPr>
            <w:tcW w:w="516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Financial Performance Summary</w:t>
            </w:r>
          </w:p>
        </w:tc>
        <w:tc>
          <w:tcPr>
            <w:tcW w:w="114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51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2,824,763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2,781,006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9,756,920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9,539,960</w:t>
            </w:r>
          </w:p>
        </w:tc>
      </w:tr>
      <w:tr>
        <w:trPr/>
        <w:tc>
          <w:tcPr>
            <w:tcW w:w="5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 increase % from prior year period</w:t>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tc>
      </w:tr>
      <w:tr>
        <w:trPr/>
        <w:tc>
          <w:tcPr>
            <w:tcW w:w="51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1,002,761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1,084,672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3,462,259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3,662,555</w:t>
            </w:r>
          </w:p>
        </w:tc>
      </w:tr>
      <w:tr>
        <w:trPr/>
        <w:tc>
          <w:tcPr>
            <w:tcW w:w="5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 as % of net sales</w:t>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38.4%</w:t>
            </w:r>
          </w:p>
        </w:tc>
      </w:tr>
      <w:tr>
        <w:trPr/>
        <w:tc>
          <w:tcPr>
            <w:tcW w:w="51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1,721,892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1,603,678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5,242,008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4,960,478</w:t>
            </w:r>
          </w:p>
        </w:tc>
      </w:tr>
      <w:tr>
        <w:trPr/>
        <w:tc>
          <w:tcPr>
            <w:tcW w:w="5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 as % of net sales</w:t>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52.0%</w:t>
            </w:r>
          </w:p>
        </w:tc>
      </w:tr>
      <w:tr>
        <w:trPr/>
        <w:tc>
          <w:tcPr>
            <w:tcW w:w="51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income</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174,875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208,175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670,487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667,219</w:t>
            </w:r>
          </w:p>
        </w:tc>
      </w:tr>
      <w:tr>
        <w:trPr/>
        <w:tc>
          <w:tcPr>
            <w:tcW w:w="5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income</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250,000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51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5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before income tax provision</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(544,762)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(310,831)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(860,920)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(630,704)</w:t>
            </w:r>
          </w:p>
        </w:tc>
      </w:tr>
      <w:tr>
        <w:trPr/>
        <w:tc>
          <w:tcPr>
            <w:tcW w:w="51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before income tax provision as % of net sales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w:t>
            </w:r>
          </w:p>
        </w:tc>
      </w:tr>
      <w:tr>
        <w:trPr/>
        <w:tc>
          <w:tcPr>
            <w:tcW w:w="5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provision</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7,345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11,431</w:t>
            </w:r>
          </w:p>
        </w:tc>
      </w:tr>
      <w:tr>
        <w:trPr/>
        <w:tc>
          <w:tcPr>
            <w:tcW w:w="51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provision as % of loss before income tax provision</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bookmarkStart w:id="13" w:name="_Hlk210997070"/>
      <w:bookmarkEnd w:id="13"/>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Fiscal 2026 Period Results Compared with Fiscal 2025 Period</w:t>
      </w:r>
    </w:p>
    <w:p>
      <w:pPr>
        <w:pStyle w:val="TextBody"/>
        <w:bidi w:val="0"/>
        <w:spacing w:lineRule="auto" w:line="259"/>
        <w:rPr>
          <w:rFonts w:ascii="Times New Roman;serif" w:hAnsi="Times New Roman;serif"/>
          <w:b/>
          <w:i/>
          <w:sz w:val="20"/>
        </w:rPr>
      </w:pPr>
      <w:r>
        <w:rPr>
          <w:rFonts w:ascii="Times New Roman;serif" w:hAnsi="Times New Roman;serif"/>
          <w:b/>
          <w:i/>
          <w:sz w:val="20"/>
        </w:rPr>
        <w:t>(comments refer to the three- and nine-month periods ended March 31, 2026 and 2025 unless otherwise noted)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Net sales for the three months ended March 31, 2026 were $2,825,000, a slight increase of $44,000, or 1.6%, compared to $2,781,000 for the three months ended March 31, 2025. The increase resulted from a 40% increase in domestic distributor orders, coupled with a 23% increase in direct-to-consumer (DTC) shipments, offset mostly by lower sales in our European and Asian markets. Sales of $9,757,000 for the nine months ended March 31, 2026 exceeded sales of $9,540,000 for the same period in the prior year by $217,000, or 2.3% due mainly to a significant sales of custom headphones to the Education segment plus a 16% increase in DTC sales, offset by a considerable decline in sales to our largest European distributors.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Export sales of $381,000 for the three months ended March 31, 2026 were down $230,000, or 37.7%, compared to sales of $612,000 for the three months ended March 31, 2025. A near 70% reduction in sales to Asia versus the same prior year period and a 77% drop off in sales into Canada drove the decline. The Asia shortfall was a result of repeat orders that came earlier in the fiscal year, and our largest Canadian distributor that will not buy U.S. products at this time for political reasons. For the nine months ended March 31, 2026, export sales totaled $1,742,000, a marked decrease of $1,279,000, or 42.3%, against the nine-month period ended March 31, 2025. Sales to our largest distributors in central and northern Europe were down close to 60% largely as a result of delays in stock replenishment. Year-to-date sales to Asia, however, exceeded sales during the first nine months of the prior year by 19%, compensated for some of the decline.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three months ended March 31, 2026, sales to the domestic markets totaled $2,444,000, representing an increase of $274,000, or 12.6%, compared to sales of $2,169,000 for the same period in the prior year. The higher sales figures reflect increased demand within the domestic distributor market and a continued effort to drive more DTC sales through marketing campaigns and other social media initiatives. Sales to the domestic markets during the nine months ended March 31, 2026 were $8,014,000, a rather significant year-over-year increase of $1,496,000, or 23.0%, as compared to sales of $6,518,000 for the nine months ended March 31, 2025. As noted above, a sizable order by a customer in the Education market boosted sales for the period, along with an approximately 50% increase in sales to a particular segment of the domestic distribution market driven by general inventory restocks and a continued demand for clear colored headphones. A 16% increase in DTC sales also contributed to the favorable sales, partially offset by two prior year custom orders that are expected to repeat in the fourth quarter potentially at a lower level.</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Gross profit as a percentage of net sales for the three months ended March 31, 2026 was 35.5% against a gross profit percentage of 39.0% for the comparable period in the prior year, a decrease of 350 basis points. For the nine months ended March 31, 2026, gross margins were 35.5%, a decrease of 290 basis points from the margin of 38.4% for the same nine-month period in the prior year. The adverse impact of significant International Emergency Economic Powers Act (IEEPA) and reciprocal tariffs, some as high as 145%, on inventory brought in and sold throughout the year, along with sales of inventory brought in at higher freight rates, were the main reasons for the margin erosion for both periods. A favorable mix of higher margin domestic distributor and DTC sales, coupled with sales of some obsolete and excess reserved inventory, helped to partially offset some of the negative impacts.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During the third quarter of fiscal 2026, freight rates decreased. Peak season surcharges dropped off and a confluence of vessel overcapacity, weakened global demand, as well as the failure of the typical pre-Chinese New Year demand surge to materialize all contributed to lower shipping costs. The Company does, however, expect an increase in ocean rates during the fourth quarter due to another peak season surcharge that will come into effect. The Company continues its relationship with a dedicated freight forwarder and renewed the contract at the end of April. Given the elimination of IEEPA and reciprocal tariffs and anticipated lower rates in the future, the Company has decided to cease its relationship with the bonded warehouse. The inventory at the bonded warehouse will be completely withdrawn by the end of fiscal year 2026. </w:t>
      </w:r>
      <w:bookmarkStart w:id="14" w:name="_Hlk156992840"/>
      <w:bookmarkEnd w:id="14"/>
      <w:r>
        <w:rPr>
          <w:rFonts w:ascii="Times New Roman;serif" w:hAnsi="Times New Roman;serif"/>
          <w:b w:val="false"/>
          <w:i w:val="false"/>
          <w:caps w:val="false"/>
          <w:smallCaps w:val="false"/>
          <w:color w:val="000000"/>
          <w:sz w:val="20"/>
        </w:rPr>
        <w:t>Ongoing monitoring of supply chain and tariff developments will help the Company adapt and maintain product availability</w:t>
      </w:r>
      <w:r>
        <w:rPr>
          <w:rFonts w:ascii="Times New Roman;serif" w:hAnsi="Times New Roman;serif"/>
          <w:b w:val="false"/>
          <w:i w:val="false"/>
          <w:caps w:val="false"/>
          <w:smallCaps w:val="false"/>
          <w:sz w:val="20"/>
        </w:rP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Over the past nine months, U.S. tariff policy on China-produced goods has remained a significant factor affecting the Company’s cost structure and supply chain decisions. The Company is currently subject to certain tariff rates on products manufactured in China that are now lower than those previously imposed and should remain fairly stable throughout the fiscal year. Future changes in trade policy, however, could result in significantly higher duties. On February 20, 2026, the federal courts ruled that the broad tariffs imposed under IEEPA were illegal and exceeded the President’s statutory authority. Soon after, President Trump invoked a 10% global tariff using Section 122 of the Trade Act of 1974. Also following the invalidation of the IEEPA and reciprocal tariffs, the Court of International Trade (CIT) ruled that the duties paid are unlawful and initiated a massive refund process. The Company may seek reliquidation and refunds via claims made in the Custom Border Patrol’s (CBP) new Consolidated Administration and Processing of Entries (CAPE) portal as soon as it is ready to begin accepting claims. While refunds are expected, they are not guaranteed and timing of the refund is currently expected to take 60-90 days. The government can appeal or cause delays, with full restitution potentially taking months or years. As such, the Company has not recorded any receivables related to the potential refunds amid the uncertainty. Given the volatility of the tariff landscape and the substantial amount of product coming from China, the Company continues to closely monitor the latest updates and their impact on operations, planning efforts and financial conditions.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Selling, general, and administrative expenses of $1,722,000 for the three months ended March 31, 2026 increased $118,000, or 7.4%, in comparison to $1,604,000 for the same period in the prior year. The primary reasons for the increase were higher legal fees, increased commissions on larger sales turnover, and additional salary and a bonus accrual for a new headcount. </w:t>
      </w:r>
      <w:r>
        <w:rPr>
          <w:rFonts w:ascii="Times New Roman;serif" w:hAnsi="Times New Roman;serif"/>
          <w:b w:val="false"/>
          <w:i w:val="false"/>
          <w:caps w:val="false"/>
          <w:smallCaps w:val="false"/>
          <w:sz w:val="20"/>
        </w:rPr>
        <w:t xml:space="preserve">For the nine months ended March 31, 2026, selling, general and administrative expenses were $5,242,000 versus $4,960,000 for the nine-month period ended March 31, 2025, an increase of $282,000, or 5.7%. </w:t>
      </w:r>
      <w:r>
        <w:rPr>
          <w:rFonts w:ascii="Times New Roman;serif" w:hAnsi="Times New Roman;serif"/>
          <w:b w:val="false"/>
          <w:i w:val="false"/>
          <w:caps w:val="false"/>
          <w:smallCaps w:val="false"/>
          <w:color w:val="000000"/>
          <w:sz w:val="20"/>
        </w:rPr>
        <w:t xml:space="preserve">The primary cause of the increase is $250,000 in legal fees and expenses </w:t>
      </w:r>
      <w:r>
        <w:rPr>
          <w:rFonts w:ascii="Times New Roman;serif" w:hAnsi="Times New Roman;serif"/>
          <w:b w:val="false"/>
          <w:i w:val="false"/>
          <w:caps w:val="false"/>
          <w:smallCaps w:val="false"/>
          <w:sz w:val="20"/>
        </w:rPr>
        <w:t xml:space="preserve">incurred as a result of litigation related to patent defense that was resolved during the second quarter of fiscal year 2026 and directly offset by non-recurring licensing proceeds as noted below. A decrease in other legal fees was offset by higher sales commissions in addition to an increase in the deferred compensation expense year over year, as a result of both declining interest rates used to calculate the related liability and an increase in the annual payments under the plan given an additional year of service was completed.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income for the nine months ended March 31, 2026 consisted entirely of $250,000 in non-recurring licensing proceeds. There was no other income recorded for the three months ended March 31, 2026 or the three- and nine-month periods ended March 31,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tax expense of $1,825 and $7,345 was recorded for the three and nine months ended March 31, 2026, respectively, and $5,204 and $10,724 for the three and nine months ended March 31, 2025, reflecting the minimum required state tax due. Aside from a $707 amount due and paid during the three months ended March 31, 2025 related to a prior-period tax return amendment, no federal income taxes were recorded during the first nine months of either fiscal year as a result of the net operating loss (NOL) carryforwards available to offset most taxable income. The effective tax rate for the three and nine months ended March 31, 2026 was less than 1%. The effective tax rate for the three and nine months ended March 31, 2025 was 1.9% and 1.8%, respectively. It is anticipated that the effective rate in future years will continue to be reduced by utilization of a portion or all of the available federal and state NOL carryforwards that existed as of June 30, 2025.</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remaining expected federal tax loss carryforward approximated $35,290,000 at the end of the third quarter of fiscal year 2026. The current fiscal year to date adjustment to the net operating loss carryforward increased the deferred tax asset related to the Company’s federal and state net operating loss carry forwards to approximately $9,006,000 </w:t>
      </w:r>
      <w:r>
        <w:rPr>
          <w:rFonts w:ascii="Times New Roman;serif" w:hAnsi="Times New Roman;serif"/>
          <w:b w:val="false"/>
          <w:i w:val="false"/>
          <w:caps w:val="false"/>
          <w:smallCaps w:val="false"/>
          <w:sz w:val="20"/>
        </w:rPr>
        <w:t xml:space="preserve">as of March 31, 2026. </w:t>
      </w:r>
      <w:r>
        <w:rPr>
          <w:rFonts w:ascii="Times New Roman;serif" w:hAnsi="Times New Roman;serif"/>
          <w:b w:val="false"/>
          <w:i w:val="false"/>
          <w:caps w:val="false"/>
          <w:smallCaps w:val="false"/>
          <w:color w:val="000000"/>
          <w:sz w:val="20"/>
        </w:rPr>
        <w:t xml:space="preserve">The </w:t>
      </w:r>
      <w:r>
        <w:rPr>
          <w:rFonts w:ascii="Times New Roman;serif" w:hAnsi="Times New Roman;serif"/>
          <w:b w:val="false"/>
          <w:i w:val="false"/>
          <w:caps w:val="false"/>
          <w:smallCaps w:val="false"/>
          <w:sz w:val="20"/>
        </w:rPr>
        <w:t xml:space="preserve">valuation allowance was adjusted accordingly to fully offset the net deferred tax asset as there is not sufficient positive evidence to support a reduction in a full valuation allowance as, excluding unusual, infrequent items, a three-year cumulative tax loss has occurred.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Company maintains a program focused on enforcing its intellectual property and, in particular, certain of its patent portfolio. The Company has enforced its intellectual property by filing complaints against certain parties alleging infringement on the Company’s patents relating to its wireless headphone technology. </w:t>
      </w:r>
      <w:r>
        <w:rPr>
          <w:rFonts w:ascii="Times New Roman;serif" w:hAnsi="Times New Roman;serif"/>
          <w:b w:val="false"/>
          <w:i w:val="false"/>
          <w:caps w:val="false"/>
          <w:smallCaps w:val="false"/>
          <w:color w:val="000000"/>
          <w:sz w:val="20"/>
        </w:rPr>
        <w:t xml:space="preserve">In the third quarter of fiscal year 2026, the final lawsuit among a series of legal actions initiated by the Company since 2020 was dismissed. </w:t>
      </w:r>
      <w:r>
        <w:rPr>
          <w:rFonts w:ascii="Times New Roman;serif" w:hAnsi="Times New Roman;serif"/>
          <w:b w:val="false"/>
          <w:i w:val="false"/>
          <w:caps w:val="false"/>
          <w:smallCaps w:val="false"/>
          <w:sz w:val="20"/>
        </w:rPr>
        <w:t>The Company is, however, appealing that decision. If efforts are successful, the Company may receive royalties, offers to purchase its intellectual property, or other remedies advantageous to its competitive position from time to time. However, there is no guarantee of a positive outcome from these efforts in the future, which could ultimately be time-consuming and unsuccessful. Additionally, the Company may owe all or a portion of any future proceeds arising from the enforcement program to third parties.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believes that its financial position remains strong. The Company had $1.9 million of cash and cash equivalents, $16.9 million of short-term investments and available credit facilities of $5.0 million on March 31, 2026.</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Recent Trends</w:t>
      </w:r>
    </w:p>
    <w:p>
      <w:pPr>
        <w:pStyle w:val="TextBody"/>
        <w:shd w:fill="FFFFFF" w:val="clear"/>
        <w:bidi w:val="0"/>
        <w:spacing w:lineRule="auto" w:line="259"/>
        <w:rPr>
          <w:rFonts w:ascii="Times New Roman;serif" w:hAnsi="Times New Roman;serif"/>
          <w:b w:val="false"/>
          <w:i w:val="false"/>
          <w:caps w:val="false"/>
          <w:smallCaps w:val="false"/>
          <w:color w:val="000000"/>
          <w:sz w:val="20"/>
          <w:shd w:fill="FFFFFF" w:val="clear"/>
        </w:rPr>
      </w:pPr>
      <w:r>
        <w:rPr>
          <w:rFonts w:ascii="Times New Roman;serif" w:hAnsi="Times New Roman;serif"/>
          <w:b w:val="false"/>
          <w:i w:val="false"/>
          <w:caps w:val="false"/>
          <w:smallCaps w:val="false"/>
          <w:color w:val="000000"/>
          <w:sz w:val="20"/>
          <w:shd w:fill="FFFFFF" w:val="clear"/>
        </w:rPr>
        <w:t xml:space="preserve">Recent and ongoing macroeconomic and geopolitical conditions have impacted, and will continue to impact, our business. These include economic uncertainty from tariff volatility and global trade tensions, persistent inflation pressures, moderate, uneven growth in the labor market and steady unemployment, still elevated borrowing costs, continually declining consumer confidence, disruption in our supply chain, the conflict in Eastern Europe and instability and escalation in the Middle East and increased risk of cyberattacks. </w:t>
      </w:r>
    </w:p>
    <w:p>
      <w:pPr>
        <w:pStyle w:val="TextBody"/>
        <w:shd w:fill="FFFFFF" w:val="clear"/>
        <w:bidi w:val="0"/>
        <w:spacing w:lineRule="auto" w:line="259"/>
        <w:rPr>
          <w:rFonts w:ascii="Times New Roman;serif" w:hAnsi="Times New Roman;serif"/>
          <w:b w:val="false"/>
          <w:i w:val="false"/>
          <w:caps w:val="false"/>
          <w:smallCaps w:val="false"/>
          <w:sz w:val="20"/>
        </w:rPr>
      </w:pPr>
      <w:bookmarkStart w:id="15" w:name="eolPage21"/>
      <w:bookmarkEnd w:id="15"/>
      <w:r>
        <w:rPr>
          <w:rFonts w:ascii="Times New Roman;serif" w:hAnsi="Times New Roman;serif"/>
          <w:b w:val="false"/>
          <w:i w:val="false"/>
          <w:caps w:val="false"/>
          <w:smallCaps w:val="false"/>
          <w:sz w:val="20"/>
        </w:rPr>
        <w:t xml:space="preserve">While the impact of these factors on our fiscal 2026 performance remains uncertain, we will continue to evaluate the extent to which these factors will impact our business, financial condition, or results of operations. These and other uncertainties with respect to these recent events could result in changes to our current expectations. </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shd w:fill="FFFFFF" w:val="clear"/>
        </w:rPr>
        <w:t xml:space="preserve">Tariffs - </w:t>
      </w:r>
      <w:r>
        <w:rPr>
          <w:rFonts w:ascii="Times New Roman;serif" w:hAnsi="Times New Roman;serif"/>
          <w:b w:val="false"/>
          <w:i w:val="false"/>
          <w:caps w:val="false"/>
          <w:smallCaps w:val="false"/>
          <w:color w:val="000000"/>
          <w:sz w:val="20"/>
          <w:shd w:fill="FFFFFF" w:val="clear"/>
        </w:rPr>
        <w:t>On February 20, 2026, in </w:t>
      </w:r>
      <w:r>
        <w:rPr>
          <w:rFonts w:ascii="Times New Roman;serif" w:hAnsi="Times New Roman;serif"/>
          <w:b w:val="false"/>
          <w:i w:val="false"/>
          <w:caps w:val="false"/>
          <w:smallCaps w:val="false"/>
          <w:sz w:val="20"/>
          <w:shd w:fill="FFFFFF" w:val="clear"/>
        </w:rPr>
        <w:t>Learning Resources, Inc. v. Trump, the Supreme Court ruled that the IEEPA does not authorize the president to impose tariffs</w:t>
      </w:r>
      <w:r>
        <w:rPr>
          <w:rFonts w:ascii="Times New Roman;serif" w:hAnsi="Times New Roman;serif"/>
          <w:b w:val="false"/>
          <w:i w:val="false"/>
          <w:caps w:val="false"/>
          <w:smallCaps w:val="false"/>
          <w:color w:val="000000"/>
          <w:sz w:val="20"/>
          <w:shd w:fill="FFFFFF" w:val="clear"/>
        </w:rPr>
        <w:t xml:space="preserve">, declaring them unconstitutional and invalidating previous punitive tariffs on Chinese goods. Shortly after the ruling, President Trump announced a temporary 10% global tariff on imports under Section 122 of the Trade Act, which he has threatened to raise to 15%. </w:t>
      </w:r>
      <w:r>
        <w:rPr>
          <w:rFonts w:ascii="Times New Roman;serif" w:hAnsi="Times New Roman;serif"/>
          <w:b w:val="false"/>
          <w:i w:val="false"/>
          <w:caps w:val="false"/>
          <w:smallCaps w:val="false"/>
          <w:sz w:val="20"/>
        </w:rPr>
        <w:t xml:space="preserve">These tariffs can be imposed for up to 150 days and are designed to address the U.S. trade deficit and related imbalances. As a result of the determination that IEEPA and reciprocal tariffs were unlawful, the Company is legally entitled and is expected to receive refunds of those tariffs. The Company continues to monitor the status of the claims process as it is currently under development and the refunds face significant legal and operational hurdles. These dynamics have contributed to variability in input costs and required the Company to actively manage supplier relationships, pricing strategies, and inventory planning. The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Company continues to monitor trade policy developments and evaluate mitigation strategies to assess the impact on inflation and consumer sentiment which, in turn, could impact operations, planning, and financial conditions. </w:t>
      </w:r>
    </w:p>
    <w:p>
      <w:pPr>
        <w:pStyle w:val="TextBody"/>
        <w:shd w:fill="FFFFFF" w:val="clear"/>
        <w:bidi w:val="0"/>
        <w:spacing w:lineRule="auto" w:line="259"/>
        <w:rPr>
          <w:rFonts w:ascii="Times New Roman;serif" w:hAnsi="Times New Roman;serif"/>
          <w:sz w:val="20"/>
        </w:rPr>
      </w:pPr>
      <w:r>
        <w:rPr>
          <w:rFonts w:ascii="Times New Roman;serif" w:hAnsi="Times New Roman;serif"/>
          <w:b w:val="false"/>
          <w:i/>
          <w:color w:val="000000"/>
          <w:sz w:val="20"/>
        </w:rPr>
        <w:t>United States and Israel War with Iran –</w:t>
      </w:r>
      <w:r>
        <w:rPr>
          <w:rFonts w:ascii="Times New Roman;serif" w:hAnsi="Times New Roman;serif"/>
          <w:caps w:val="false"/>
          <w:smallCaps w:val="false"/>
          <w:color w:val="0A0A0A"/>
          <w:sz w:val="20"/>
        </w:rPr>
        <w:t xml:space="preserve"> </w:t>
      </w:r>
      <w:r>
        <w:rPr>
          <w:rFonts w:ascii="Times New Roman;serif" w:hAnsi="Times New Roman;serif"/>
          <w:b w:val="false"/>
          <w:i w:val="false"/>
          <w:caps w:val="false"/>
          <w:smallCaps w:val="false"/>
          <w:sz w:val="20"/>
        </w:rPr>
        <w:t xml:space="preserve">Escalating conflict between the United States and Iran poses material risks to global crude oil and refined fuel markets, as disruptions to Middle Eastern supply routes, including the Strait of Hormuz, could result in sharp and sustained increases in fuel prices and uncertainty in the financial markets. Our business operations and supply chain are exposed to such geopolitical volatility, and a prolonged conflict could compound inflationary pressures and dampen broader U.S. business activity in ways that may materially and adversely affect our financial condition and results of operations. </w:t>
      </w:r>
    </w:p>
    <w:p>
      <w:pPr>
        <w:pStyle w:val="TextBody"/>
        <w:shd w:fill="FFFFFF" w:val="clear"/>
        <w:bidi w:val="0"/>
        <w:spacing w:lineRule="auto" w:line="259"/>
        <w:rPr>
          <w:rFonts w:ascii="Times New Roman;serif" w:hAnsi="Times New Roman;serif"/>
          <w:sz w:val="20"/>
        </w:rPr>
      </w:pPr>
      <w:r>
        <w:rPr>
          <w:rFonts w:ascii="Times New Roman;serif" w:hAnsi="Times New Roman;serif"/>
          <w:b w:val="false"/>
          <w:i/>
          <w:color w:val="000000"/>
          <w:sz w:val="20"/>
          <w:shd w:fill="FFFFFF" w:val="clear"/>
        </w:rPr>
        <w:t xml:space="preserve">Inflationary Cost Environment and the Impact on Consumer Confidence – </w:t>
      </w:r>
      <w:r>
        <w:rPr>
          <w:rFonts w:ascii="Times New Roman;serif" w:hAnsi="Times New Roman;serif"/>
          <w:b w:val="false"/>
          <w:i w:val="false"/>
          <w:caps w:val="false"/>
          <w:smallCaps w:val="false"/>
          <w:color w:val="000000"/>
          <w:sz w:val="20"/>
          <w:shd w:fill="FFFFFF" w:val="clear"/>
        </w:rPr>
        <w:t>Global inflation has been persistent despite earlier declines, particularly affecting input costs. While the Federal Reserve has initiated rate cuts during the fiscal year, elevated inflation from tariffs may restrict the ability to significantly lower interest rates, resulting in a higher-for-longer environment. In addition, the conflicts in the Middle East have contributed to sustained elevated interest rates and volatile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energy costs. Consumer confidence continued to decline steadily due to concerns over high prices, increased energy costs, tariffs and a softening labor market. Consumers may still put off making purchase decisions and cut back on overall spending, which could impact the Company’s sales volumes. </w:t>
      </w:r>
    </w:p>
    <w:p>
      <w:pPr>
        <w:pStyle w:val="TextBody"/>
        <w:shd w:fill="FFFFFF" w:val="clear"/>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will continue to experience higher costs</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 xml:space="preserve">for commodities and packaging materials due to the tariffs, albeit at lower rates, and </w:t>
      </w:r>
      <w:r>
        <w:rPr>
          <w:rFonts w:ascii="Times New Roman;serif" w:hAnsi="Times New Roman;serif"/>
          <w:b w:val="false"/>
          <w:i w:val="false"/>
          <w:caps w:val="false"/>
          <w:smallCaps w:val="false"/>
          <w:sz w:val="20"/>
        </w:rPr>
        <w:t>will react with pricing actions as it deems necessary. The Company continues to work with a dedicated freight forwarding partner to minimize freight rate increases. Other risk factors further exacerbated by inflation include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supply chain disruptions, increased oil and energy costs, risks of international operations and the recruitment and retention of talent.</w:t>
      </w:r>
    </w:p>
    <w:p>
      <w:pPr>
        <w:pStyle w:val="TextBody"/>
        <w:bidi w:val="0"/>
        <w:spacing w:lineRule="auto" w:line="259"/>
        <w:rPr>
          <w:rFonts w:ascii="Times New Roman;serif" w:hAnsi="Times New Roman;serif"/>
          <w:sz w:val="20"/>
        </w:rPr>
      </w:pPr>
      <w:bookmarkStart w:id="16" w:name="_Hlk195797684"/>
      <w:bookmarkEnd w:id="16"/>
      <w:r>
        <w:rPr>
          <w:rFonts w:ascii="Times New Roman;serif" w:hAnsi="Times New Roman;serif"/>
          <w:b w:val="false"/>
          <w:i/>
          <w:color w:val="000000"/>
          <w:sz w:val="20"/>
          <w:shd w:fill="FFFFFF" w:val="clear"/>
        </w:rPr>
        <w:t xml:space="preserve">Supply Chain Disruption and Trade Tensions with China - </w:t>
      </w:r>
      <w:r>
        <w:rPr>
          <w:rFonts w:ascii="Times New Roman;serif" w:hAnsi="Times New Roman;serif"/>
          <w:b w:val="false"/>
          <w:i w:val="false"/>
          <w:caps w:val="false"/>
          <w:smallCaps w:val="false"/>
          <w:sz w:val="20"/>
        </w:rPr>
        <w:t>The Company faces significant risks due to reliance on third-party supply chains, primarily in southern China and Taiwan, distribution networks and the availability of necessary components to produce a considerable number of our products. Issues such as pandemic restrictions, geopolitical unrest, labor shortages, strikes, and component procurement failures could delay manufacturing and increase costs. The U.S.-China tariff war has disrupted supply chains, impacting both domestic industries and global trade dynamics. Continued geopolitical tensions between China and Taiwan may affect future shipments from Taiwan-based suppliers. Adverse changes in social, political, regulatory, or economic conditions could increase product costs or delay shipments. Any escalation of trade tensions might lead to retaliatory trade restrictions, potentially affecting the Company's ability to source products from China or conduct business internationally. Any alterations to our business strategy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or operations made in order to adapt to or comply with any such changes would be time-consuming and expensive,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with limited ability to pass increased tariffs and freight costs onto customers. Broad tariffs may shift supply chains out of China, which could cause inflation to rise, impacting costs and consumer demand. The Company will continue to monitor the evolving situation and others that may arise as the changes in the current labor landscape, coupled with rising inflation and energy prices, could potentially exacerbate disruptions in the supply chain, delay product shipments and increase transportation costs. </w:t>
      </w:r>
    </w:p>
    <w:p>
      <w:pPr>
        <w:pStyle w:val="TextBody"/>
        <w:shd w:fill="FFFFFF" w:val="clear"/>
        <w:bidi w:val="0"/>
        <w:spacing w:lineRule="auto" w:line="259"/>
        <w:rPr>
          <w:rFonts w:ascii="Times New Roman;serif" w:hAnsi="Times New Roman;serif"/>
          <w:sz w:val="20"/>
        </w:rPr>
      </w:pPr>
      <w:r>
        <w:rPr>
          <w:rFonts w:ascii="Times New Roman;serif" w:hAnsi="Times New Roman;serif"/>
          <w:b w:val="false"/>
          <w:i/>
          <w:color w:val="000000"/>
          <w:sz w:val="20"/>
        </w:rPr>
        <w:t xml:space="preserve">Russia’s Invasion of Ukraine – </w:t>
      </w:r>
      <w:r>
        <w:rPr>
          <w:rFonts w:ascii="Times New Roman;serif" w:hAnsi="Times New Roman;serif"/>
          <w:b w:val="false"/>
          <w:i w:val="false"/>
          <w:caps w:val="false"/>
          <w:smallCaps w:val="false"/>
          <w:sz w:val="20"/>
        </w:rPr>
        <w:t xml:space="preserve">The United States and global markets continue to experience volatility and disruption resulting from the ongoing conflict between Russia and Ukraine, which began following the invasion of Ukraine by Russia in February 2022. The significant sanctions and export controls imposed against Russia, certain Russian banks and Russian individuals by the U.S. and other countries remain unchanged. The Company suspended all sales to Russia in April 2022 in accordance with Executive Order 14071 and no sales were made to Russia since that time. While there is a humanitarian crisis in Ukraine created by the war and the population continues to seek refuge in other countries, the Company continues to receive orders from a Ukrainian distributor. During the nine months ended March 31, 2026 and 2025, sales of $31,000 and $80,000, respectively, were made to this distributor. </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shd w:fill="FFFFFF" w:val="clear"/>
        </w:rPr>
        <w:t>Cyberattacks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Cyberattacks are a growing geopolitical risk, becoming larger, more frequent, more sophisticated and more relentless as technology has evolved, resulting in privacy, security, and compliance concerns. They are a significant threat to individual organizations and national security. High-profile security breaches at other companies and in government agencies have increased in recent years, and security industry experts and government officials have warned about the risks of hackers and cyberattacks targeting businesses. The U.S. Iran conflict has also significantly intensified cyber threats, characterized by Iran-linked hackers conducting high-volume, often low-impact, disruption attacks against U.S. critical infrastructure, including defense contractors, data centers and water systems.</w:t>
      </w:r>
      <w:r>
        <w:rPr>
          <w:rFonts w:ascii="Times New Roman;serif" w:hAnsi="Times New Roman;serif"/>
          <w:caps w:val="false"/>
          <w:smallCaps w:val="false"/>
          <w:color w:val="EE0000"/>
          <w:sz w:val="20"/>
        </w:rPr>
        <w:t xml:space="preserve"> </w:t>
      </w:r>
      <w:r>
        <w:rPr>
          <w:rFonts w:ascii="Times New Roman;serif" w:hAnsi="Times New Roman;serif"/>
          <w:b w:val="false"/>
          <w:i w:val="false"/>
          <w:caps w:val="false"/>
          <w:smallCaps w:val="false"/>
          <w:sz w:val="20"/>
        </w:rPr>
        <w:t xml:space="preserve">We rely on accounting, financial, and operational management information systems to conduct our operations. Any disruption in these systems could adversely affect our ability to conduct our business. Furthermore, as part of our normal business activities, we collect and store common confidential information about customers, employees, vendors, and suppliers. This information is entitled to protection under a number of regulatory regimes. Any failure to maintain the security of the data, including the penetration of our network security and the misappropriation of confidential and personal information, could result in business disruption, damage to our reputation, financial obligations to third parties, fines, penalties, regulatory proceedings and private litigation with potentially large costs, and also result in deterioration in customers confidence in us and other competitive disadvantages, and thus could have a material adverse impact on our financial condition and results of operations. While we devote resources to security measures to protect our systems and data, these measures cannot provide absolute security and there is a risk that these types of attacks could impact the entire supply and distribution chain for the Company’s product line. Given connectivity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through the internet, the Company can only be as strong as its weakest link, whether that is a financial service provider, third party distributor, reseller, transportation service provider, contract manufacturer, customer or consumer.</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shd w:fill="FFFF00" w:val="clear"/>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Liquidity and Capital Resources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Cash Flows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cash flows from operating, investing and financing activities for the nine months ended March 31, 2026 and 2025:</w:t>
      </w:r>
    </w:p>
    <w:p>
      <w:pPr>
        <w:pStyle w:val="TextBody"/>
        <w:bidi w:val="0"/>
        <w:spacing w:lineRule="auto" w:line="259"/>
        <w:rPr>
          <w:caps w:val="false"/>
          <w:smallCaps w:val="false"/>
        </w:rPr>
      </w:pPr>
      <w:r>
        <w:rPr>
          <w:caps w:val="false"/>
          <w:smallCaps w:val="false"/>
        </w:rPr>
        <w:t> </w:t>
      </w:r>
    </w:p>
    <w:tbl>
      <w:tblPr>
        <w:tblW w:w="6699" w:type="dxa"/>
        <w:jc w:val="left"/>
        <w:tblInd w:w="0" w:type="dxa"/>
        <w:tblLayout w:type="fixed"/>
        <w:tblCellMar>
          <w:top w:w="0" w:type="dxa"/>
          <w:left w:w="0" w:type="dxa"/>
          <w:bottom w:w="0" w:type="dxa"/>
          <w:right w:w="0" w:type="dxa"/>
        </w:tblCellMar>
      </w:tblPr>
      <w:tblGrid>
        <w:gridCol w:w="4321"/>
        <w:gridCol w:w="211"/>
        <w:gridCol w:w="901"/>
        <w:gridCol w:w="109"/>
        <w:gridCol w:w="211"/>
        <w:gridCol w:w="946"/>
      </w:tblGrid>
      <w:tr>
        <w:trPr/>
        <w:tc>
          <w:tcPr>
            <w:tcW w:w="4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cash (used in) provided by:</w:t>
            </w:r>
          </w:p>
        </w:tc>
        <w:tc>
          <w:tcPr>
            <w:tcW w:w="111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43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activities</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(580,822)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319,989</w:t>
            </w:r>
          </w:p>
        </w:tc>
      </w:tr>
      <w:tr>
        <w:trPr/>
        <w:tc>
          <w:tcPr>
            <w:tcW w:w="43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Investing activities</w:t>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(339,355)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(374,623)</w:t>
            </w:r>
          </w:p>
        </w:tc>
      </w:tr>
      <w:tr>
        <w:trPr/>
        <w:tc>
          <w:tcPr>
            <w:tcW w:w="43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Financing activities</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13,846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152,445</w:t>
            </w:r>
          </w:p>
        </w:tc>
      </w:tr>
      <w:tr>
        <w:trPr/>
        <w:tc>
          <w:tcPr>
            <w:tcW w:w="43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increase (decrease) in cash and cash equivalents</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(906,331)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97,811</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Operating Activities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cash used in operating activities during the nine months ending March 31, 2026 was primarily driven by the net loss from operations, somewhat offset by improvements in working capital. Payments to the Custom Border Patrol for tariffs on inventory purchased from Chinese suppliers plus payment of the Company’s annual insurance premiums at the beginning of the fiscal year were partially offset by a $512,000 IRS refund received in the first quarter relating to employer payroll taxes incorrectly paid in prior years on the gains from the disqualifying dispositions of incentive stock options. The cash provided by operating activities during the nine months ending March 31, 2025 was a result of $344,000 in customer deposits for orders that shipped in the following quarter.</w:t>
      </w:r>
    </w:p>
    <w:p>
      <w:pPr>
        <w:pStyle w:val="TextBody"/>
        <w:bidi w:val="0"/>
        <w:spacing w:lineRule="auto" w:line="259"/>
        <w:rPr>
          <w:rFonts w:ascii="Times New Roman;serif" w:hAnsi="Times New Roman;serif"/>
          <w:b/>
          <w:i/>
          <w:sz w:val="20"/>
        </w:rPr>
      </w:pPr>
      <w:r>
        <w:rPr>
          <w:rFonts w:ascii="Times New Roman;serif" w:hAnsi="Times New Roman;serif"/>
          <w:b/>
          <w:i/>
          <w:sz w:val="20"/>
        </w:rPr>
        <w:t>Investing Activities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Fixed asset additions of $316,000 during the nine months ended March 31, 2026 consisted of replacement of the third roof section of the Company’s building at a cost of $269,000, a sprinkler system valve replacement and various new product tooling and was the driving factor behind cash used by investing activities. The Company also paid premiums of $51,000 on the company-owned life insurance policies on two of its executives. Total proceeds of $9,035,000 were received during the first nine months of fiscal year 2026 from the redemption of U.S. Treasury securities and $8,998,000 of new U.S. Treasury securities were purchased at a net premium of $8,600 during that same period. Cash used by investing activities for the nine months ended March 31, 2025 was also related mostly to fixed asset expenditures, namely the replacement of a second roof section of the building for $346,000, and the payment of $71,000 in premiums on the company-owned life insurance policies on two of its executives. Proceeds of $9,179,000 received during the nine months ended March 31, 2025 from the maturity of U.S. Treasury securities were mostly reinvested to purchase $9,059,000 of similar securities at a $60,000 discount.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Financing Activities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from the exercise of stock options during the nine-month period ended March 31, 2026 provided the majority of the cash from financing activities, offset slightly by principal payments on a finance lease for a new reach truck leased for the warehouse at the beginning of the year. A total of 10,000 shares of common stock were issued as a result of employee stock option exercises under grants that were still outstanding from the Company’s 2012 Omnibus Incentive Plan. For the nine months ended March 31, 2025, an aggregate of 76,000 shares of common stock were issued as a result of employee stock option exercises under grants outstanding from the Company’s 2012 Omnibus Incentive Plan.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of March 31, 2026 and June 30, 2025, the Company had no outstanding borrowings on its bank line of credit facility.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were no purchases of common stock in the nine months ended March 31, 2026 or 2025 under the Company’s stock repurchase program. </w:t>
      </w:r>
    </w:p>
    <w:p>
      <w:pPr>
        <w:pStyle w:val="TextBody"/>
        <w:bidi w:val="0"/>
        <w:spacing w:lineRule="auto" w:line="259"/>
        <w:rPr>
          <w:rFonts w:ascii="Times New Roman;serif" w:hAnsi="Times New Roman;serif"/>
          <w:b/>
          <w:i/>
          <w:sz w:val="20"/>
        </w:rPr>
      </w:pPr>
      <w:r>
        <w:rPr>
          <w:rFonts w:ascii="Times New Roman;serif" w:hAnsi="Times New Roman;serif"/>
          <w:b/>
          <w:i/>
          <w:sz w:val="20"/>
        </w:rPr>
        <w:t>Liquidity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the three months ended March 31, 2026, the Company reclassified its debt securities with an amortized cost of $16,994,043 from held-to-maturity to available-for-sale in order to provide increased flexibility in managing its liquidity and capital resources. The reclassification was made in light of the Company’s updated strategy of diversification via acquisition and the related funding requirements of potential acquisition opportunities.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Following the transfer, the securities remain highly liquid and available to support working capital needs, strategic initiatives, and other general corporate purposes. The transfer did not impact the Company’s cash position or results of operations, other than the recognition of an unrealized loss in other comprehensive loss related to marking the securities to fair value.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Management believes existing cash, cash equivalents, investments in short-term U.S. Treasury securities, cash generated from operations and available borrowings under its credit facility will be sufficient to meet the Company’s anticipated operating and capital expenditure requirements for at least the next twelve months and the foreseeable future.</w:t>
      </w:r>
    </w:p>
    <w:p>
      <w:pPr>
        <w:pStyle w:val="TextBody"/>
        <w:bidi w:val="0"/>
        <w:spacing w:lineRule="auto" w:line="259"/>
        <w:rPr>
          <w:rFonts w:ascii="Times New Roman;serif" w:hAnsi="Times New Roman;serif"/>
          <w:b/>
          <w:i/>
          <w:sz w:val="20"/>
        </w:rPr>
      </w:pPr>
      <w:r>
        <w:rPr>
          <w:rFonts w:ascii="Times New Roman;serif" w:hAnsi="Times New Roman;serif"/>
          <w:b/>
          <w:i/>
          <w:sz w:val="20"/>
        </w:rPr>
        <w:t>Credit Facility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May 14, 2019, the Company entered into a secured credit facility (“Credit Agreement”) with Town Bank (“Lender”). The Credit Agreement provides for a $5,000,000 revolving secured credit facility for letters of credit for the benefit of the Company of up to a sublimit of $1,000,000. There are no unused line fees in the credit facility. On January 28, 2021, the Credit Agreement was amended to change the interest rate to Wall Street Journal Prime less 1.50%. An amendment to the Credit Agreement effective October 30, 2024, extended the maturity date to October 31, 2026, and removed one of the covenants requiring submission of annual financial performance projections to the Lender. The Company and the Lender also entered into a General Business Security Agreement dated May 14, 2019 under which the Company granted the Lender a security interest in substantially all of the Company’s assets in connection with the Company’s obligations under the Credit Agreement. The Credit Agreement contains certain affirmative and negative covenants customary for financings of this type. The negative covenants include restrictions on other indebtedness, liens, fundamental changes, certain investments, disposition of assets, mergers and liquidations, among other restrictions. As of March 31, 2026, the Company was in compliance with all covenants related to the Credit Agreement. As of March 31, 2026 and June 30, 2025, there were no outstanding borrowings on the facility. </w:t>
      </w:r>
    </w:p>
    <w:p>
      <w:pPr>
        <w:pStyle w:val="TextBody"/>
        <w:bidi w:val="0"/>
        <w:spacing w:lineRule="auto" w:line="259"/>
        <w:rPr>
          <w:rFonts w:ascii="Times New Roman;serif" w:hAnsi="Times New Roman;serif"/>
          <w:b/>
          <w:i/>
          <w:sz w:val="20"/>
        </w:rPr>
      </w:pPr>
      <w:r>
        <w:rPr>
          <w:rFonts w:ascii="Times New Roman;serif" w:hAnsi="Times New Roman;serif"/>
          <w:b/>
          <w:i/>
          <w:sz w:val="20"/>
        </w:rPr>
        <w:t>Contractual Obligation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The Company leases its 126,000 square foot facility from Koss Holdings, LLC, which is controlled by five equal ownership interests in trusts held by the five beneficiaries of a former chairman’s revocable trust </w:t>
      </w:r>
      <w:r>
        <w:rPr>
          <w:rFonts w:ascii="Times New Roman;serif" w:hAnsi="Times New Roman;serif"/>
          <w:b w:val="false"/>
          <w:i w:val="false"/>
          <w:caps w:val="false"/>
          <w:smallCaps w:val="false"/>
          <w:sz w:val="20"/>
        </w:rPr>
        <w:t>and includes current stockholders of the Company</w:t>
      </w:r>
      <w:r>
        <w:rPr>
          <w:rFonts w:ascii="Times New Roman;serif" w:hAnsi="Times New Roman;serif"/>
          <w:b w:val="false"/>
          <w:i w:val="false"/>
          <w:caps w:val="false"/>
          <w:smallCaps w:val="false"/>
          <w:color w:val="000000"/>
          <w:sz w:val="20"/>
        </w:rPr>
        <w:t>. On May 24, 2022, the lease was renewed for a period of five years, ending June 30, 2028, and is being accounted for as an operating lease. The lease extension maintained the rent at a fixed rate of $380,000 per year. The Company has the option to renew the lease for an additional five years beginning July 1, 2028 and ending June 30, 2033 under the same terms and conditions except that the annual rent will increase to $397,000. The negotiated increase in rent slated for 2028 will be the first increase in rent since 1996. The Company is responsible for all property maintenance, insurance, taxes and other normal expenses related to ownership. The facility is in good repair and, in the opinion of management, is suitable and adequate for the Company’s business purposes.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i/>
          <w:sz w:val="20"/>
        </w:rPr>
      </w:pPr>
      <w:r>
        <w:rPr>
          <w:rFonts w:ascii="Times New Roman;serif" w:hAnsi="Times New Roman;serif"/>
          <w:b/>
          <w:i/>
          <w:sz w:val="20"/>
        </w:rPr>
        <w:t>Critical Accounting Policies and Estimates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have been no significant changes in our critical accounting policies and estimates from the information we provided in our Annual Report on Form 10-K for the fiscal year ended June 30, 2025.</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Off-Balance Sheet Transactions</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At March 31, 2026, the Company did not have any transactions, obligations or relationships that could be considered off-balance sheet arrangements.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shd w:fill="FFFF00" w:val="clear"/>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Item 3.    Quantitative and Qualitative Disclosures About Market Risk</w:t>
      </w:r>
      <w:bookmarkStart w:id="17" w:name="Quantitative_Qualitative_Market_Risk"/>
      <w:bookmarkEnd w:id="17"/>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t>Item 4.</w:t>
      </w:r>
      <w:r>
        <w:rPr>
          <w:rFonts w:ascii="Times New Roman;serif" w:hAnsi="Times New Roman;serif"/>
          <w:caps w:val="false"/>
          <w:smallCaps w:val="false"/>
          <w:sz w:val="20"/>
        </w:rPr>
        <w:t>    </w:t>
      </w:r>
      <w:r>
        <w:rPr>
          <w:rFonts w:ascii="Times New Roman;serif" w:hAnsi="Times New Roman;serif"/>
          <w:b/>
          <w:i w:val="false"/>
          <w:caps w:val="false"/>
          <w:smallCaps w:val="false"/>
          <w:color w:val="000000"/>
          <w:sz w:val="20"/>
        </w:rPr>
        <w:t>Controls and Procedures</w:t>
      </w:r>
      <w:bookmarkStart w:id="18" w:name="Controls_Procedures"/>
      <w:bookmarkEnd w:id="18"/>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Disclosure Controls and Procedures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Disclosure controls and procedures (as defined in Rules 13a-15(e) and 15d-15(e)) of the Securities Exchange Act of 1934, as amended (the “Exchange Act”) are designed to ensure that: (1) information required to be disclosed in reports filed or submitted under the Exchange Act is recorded, processed, summarized and reported within the time periods specified in SEC rules and forms; and (2)  such information is accumulated and communicated to management, including the principal executive officer and principal financial officer, as appropriate to allow timely decisions regarding required disclosures. There are inherent limitations to the effectiveness of any system of disclosure controls and procedures, including the possibility of human error and the circumvention or overriding of controls and procedures. Accordingly, even effective disclosure controls and procedures can only provide reasonable assurance of achieving their control objectives.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management, including the Company’s Chief Executive Officer and Chief Financial Officer, evaluated the effectiveness of the design and operation of the Company’s disclosure controls and procedures (as defined in Rules 13a-15(e) and 15d-15(e) under the Exchange Act) as of March 31, 2026. The Company’s Chief Executive Officer and Chief Financial Officer have concluded that the Company’s disclosure controls and procedures as of March 31, 2026 were effective.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Changes in Internal Control Over Financial Reporting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have been no changes in the Company’s internal control over financial reporting (as defined in Exchange Act Rules 13a–15(f) and 15d–15(f)) that occurred during the Company’s most recent fiscal quarter that have materially affected, or are reasonably likely to materially affect, the Company’s internal control over financial reporting.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II</w:t>
      </w:r>
      <w:bookmarkStart w:id="19" w:name="Part2_OtherInformation"/>
      <w:bookmarkEnd w:id="19"/>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OTHER INFORMATION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t>Item 1.</w:t>
      </w:r>
      <w:r>
        <w:rPr>
          <w:rFonts w:ascii="Times New Roman;serif" w:hAnsi="Times New Roman;serif"/>
          <w:caps w:val="false"/>
          <w:smallCaps w:val="false"/>
          <w:sz w:val="20"/>
        </w:rPr>
        <w:t>   </w:t>
      </w:r>
      <w:r>
        <w:rPr>
          <w:rFonts w:ascii="Times New Roman;serif" w:hAnsi="Times New Roman;serif"/>
          <w:caps w:val="false"/>
          <w:smallCaps w:val="false"/>
          <w:color w:val="000000"/>
          <w:sz w:val="20"/>
        </w:rPr>
        <w:t> </w:t>
      </w:r>
      <w:r>
        <w:rPr>
          <w:rFonts w:ascii="Times New Roman;serif" w:hAnsi="Times New Roman;serif"/>
          <w:b/>
          <w:i w:val="false"/>
          <w:caps w:val="false"/>
          <w:smallCaps w:val="false"/>
          <w:color w:val="000000"/>
          <w:sz w:val="20"/>
        </w:rPr>
        <w:t>Legal Proceedings</w:t>
      </w:r>
      <w:bookmarkStart w:id="20" w:name="Legal_Proceedings"/>
      <w:bookmarkEnd w:id="20"/>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part of its intellectual property enforcement program, on July 22, 2020, the Company brought patent infringement suits against certain parties, including PEAG, LLC d/b/a jLab Audio and Skullcandy, Inc., alleging infringement of the Company’s patents relating to its wireless headphone technology and seeking monetary relief and attorneys’ fees. The lawsuit against PEAG LLG d/b/a JLab Audio was dismissed on November 20, 2025 following resolution of the litigation between the parties. In late March 2026, a Utah federal judge dismissed the Company’s lawsuit against Skullcandy, Inc., the last remaining patent infringement lawsuit in a series of legal actions filed starting in 2020. The Company is appealing this decision.</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t>Item 1A.</w:t>
      </w:r>
      <w:r>
        <w:rPr>
          <w:rFonts w:ascii="Times New Roman;serif" w:hAnsi="Times New Roman;serif"/>
          <w:caps w:val="false"/>
          <w:smallCaps w:val="false"/>
          <w:sz w:val="20"/>
        </w:rPr>
        <w:t>   </w:t>
      </w:r>
      <w:r>
        <w:rPr>
          <w:rFonts w:ascii="Times New Roman;serif" w:hAnsi="Times New Roman;serif"/>
          <w:caps w:val="false"/>
          <w:smallCaps w:val="false"/>
          <w:color w:val="000000"/>
          <w:sz w:val="20"/>
        </w:rPr>
        <w:t> </w:t>
      </w:r>
      <w:bookmarkStart w:id="21" w:name="RiskFactors"/>
      <w:bookmarkEnd w:id="21"/>
      <w:r>
        <w:rPr>
          <w:rFonts w:ascii="Times New Roman;serif" w:hAnsi="Times New Roman;serif"/>
          <w:b/>
          <w:i w:val="false"/>
          <w:caps w:val="false"/>
          <w:smallCaps w:val="false"/>
          <w:color w:val="000000"/>
          <w:sz w:val="20"/>
        </w:rPr>
        <w:t>Risk Factors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addition to the other information set forth in this report, you should carefully consider the factors discussed in Part 1. Item 1A, “Risk Factors” in our Annual Report on Form 10-K for the fiscal year ended June 30, 2025, as filed with the Securities and Exchange Commission on August 29, 2025.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report. There have been no material changes to the risk factors described under “Risk Factors,” included in our Annual Report on Form 10-K for the fiscal year ended June 30, 2025.</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Item 2.    Unregistered Sales of Equity Securities and Use of Proceeds</w:t>
      </w:r>
      <w:bookmarkStart w:id="22" w:name="Unregisterd_Equity_Securities"/>
      <w:bookmarkEnd w:id="22"/>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presents information with respect to purchases of common stock of the Company made during the three months ended March 31, 2026, by the Company.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COMPANY REPURCHASES OF EQUITY SECURITIES</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3"/>
        <w:gridCol w:w="109"/>
        <w:gridCol w:w="991"/>
        <w:gridCol w:w="109"/>
        <w:gridCol w:w="357"/>
        <w:gridCol w:w="588"/>
        <w:gridCol w:w="109"/>
        <w:gridCol w:w="2684"/>
        <w:gridCol w:w="109"/>
        <w:gridCol w:w="526"/>
        <w:gridCol w:w="2450"/>
      </w:tblGrid>
      <w:tr>
        <w:trPr/>
        <w:tc>
          <w:tcPr>
            <w:tcW w:w="2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Total # of </w:t>
              <w:br/>
              <w:t>‎Shares</w:t>
              <w:br/>
              <w:t>‎Purchased</w:t>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w:t>
              <w:br/>
              <w:t>‎Price Paid</w:t>
              <w:br/>
              <w:t>‎per Share</w:t>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Number of Shares Purchased as</w:t>
              <w:br/>
              <w:t>‎Part of Publicly Announced Plan (1)</w:t>
            </w:r>
          </w:p>
        </w:tc>
        <w:tc>
          <w:tcPr>
            <w:tcW w:w="109" w:type="dxa"/>
            <w:tcBorders/>
            <w:vAlign w:val="center"/>
          </w:tcPr>
          <w:p>
            <w:pPr>
              <w:pStyle w:val="TableContents"/>
              <w:bidi w:val="0"/>
              <w:spacing w:before="0" w:after="283"/>
              <w:jc w:val="left"/>
              <w:rPr>
                <w:sz w:val="4"/>
                <w:szCs w:val="4"/>
              </w:rPr>
            </w:pPr>
            <w:r>
              <w:rPr>
                <w:sz w:val="4"/>
                <w:szCs w:val="4"/>
              </w:rPr>
            </w:r>
          </w:p>
        </w:tc>
        <w:tc>
          <w:tcPr>
            <w:tcW w:w="297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Approximate Dollar Value of</w:t>
              <w:br/>
              <w:t>‎Shares Available under Repurchase Plan</w:t>
            </w:r>
          </w:p>
        </w:tc>
      </w:tr>
      <w:tr>
        <w:trPr/>
        <w:tc>
          <w:tcPr>
            <w:tcW w:w="217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January 1 - January 31,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88"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84"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45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2,139,753</w:t>
            </w:r>
          </w:p>
        </w:tc>
      </w:tr>
      <w:tr>
        <w:trPr/>
        <w:tc>
          <w:tcPr>
            <w:tcW w:w="217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February 1 - February 28, 2026</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88"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45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2,139,753</w:t>
            </w:r>
          </w:p>
        </w:tc>
      </w:tr>
      <w:tr>
        <w:trPr/>
        <w:tc>
          <w:tcPr>
            <w:tcW w:w="217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1 - March 31,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5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8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84"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4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2,139,753</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(1)In April of 1995, the Board of Directors approved a stock repurchase program authorizing the Company to purchase from time to time up to $2,000,000 of its common stock for its own account. Subsequently, the Board of Directors periodically has approved increases in the stock repurchase program. The most recent increase was for an additional $2,000,000 in October 2006, for a maximum of $45,500,000 of which $43,360,247 had been expended through March 31, 2026.</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t>Item 6.</w:t>
      </w:r>
      <w:r>
        <w:rPr>
          <w:rFonts w:ascii="Times New Roman;serif" w:hAnsi="Times New Roman;serif"/>
          <w:caps w:val="false"/>
          <w:smallCaps w:val="false"/>
          <w:sz w:val="20"/>
        </w:rPr>
        <w:t>    </w:t>
      </w:r>
      <w:r>
        <w:rPr>
          <w:rFonts w:ascii="Times New Roman;serif" w:hAnsi="Times New Roman;serif"/>
          <w:b/>
          <w:i w:val="false"/>
          <w:caps w:val="false"/>
          <w:smallCaps w:val="false"/>
          <w:color w:val="000000"/>
          <w:sz w:val="20"/>
        </w:rPr>
        <w:t>Exhibit</w:t>
      </w:r>
      <w:bookmarkStart w:id="23" w:name="Exhibits"/>
      <w:bookmarkEnd w:id="23"/>
      <w:r>
        <w:rPr>
          <w:rFonts w:ascii="Times New Roman;serif" w:hAnsi="Times New Roman;serif"/>
          <w:b/>
          <w:i w:val="false"/>
          <w:caps w:val="false"/>
          <w:smallCaps w:val="false"/>
          <w:color w:val="000000"/>
          <w:sz w:val="20"/>
        </w:rPr>
        <w:t>s</w:t>
      </w:r>
    </w:p>
    <w:tbl>
      <w:tblPr>
        <w:tblW w:w="10205" w:type="dxa"/>
        <w:jc w:val="left"/>
        <w:tblInd w:w="0" w:type="dxa"/>
        <w:tblLayout w:type="fixed"/>
        <w:tblCellMar>
          <w:top w:w="0" w:type="dxa"/>
          <w:left w:w="0" w:type="dxa"/>
          <w:bottom w:w="0" w:type="dxa"/>
          <w:right w:w="0" w:type="dxa"/>
        </w:tblCellMar>
      </w:tblPr>
      <w:tblGrid>
        <w:gridCol w:w="1081"/>
        <w:gridCol w:w="9124"/>
      </w:tblGrid>
      <w:tr>
        <w:trPr/>
        <w:tc>
          <w:tcPr>
            <w:tcW w:w="1081" w:type="dxa"/>
            <w:tcBorders/>
            <w:vAlign w:val="center"/>
          </w:tcPr>
          <w:p>
            <w:pPr>
              <w:pStyle w:val="TableContents"/>
              <w:bidi w:val="0"/>
              <w:spacing w:before="0" w:after="283"/>
              <w:jc w:val="left"/>
              <w:rPr>
                <w:sz w:val="4"/>
                <w:szCs w:val="4"/>
              </w:rPr>
            </w:pPr>
            <w:r>
              <w:rPr>
                <w:sz w:val="4"/>
                <w:szCs w:val="4"/>
              </w:rPr>
            </w:r>
          </w:p>
        </w:tc>
        <w:tc>
          <w:tcPr>
            <w:tcW w:w="9124"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Exhibit No.</w:t>
            </w:r>
          </w:p>
        </w:tc>
        <w:tc>
          <w:tcPr>
            <w:tcW w:w="912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Exhibit Description</w:t>
            </w:r>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w:t>
            </w:r>
          </w:p>
        </w:tc>
        <w:tc>
          <w:tcPr>
            <w:tcW w:w="9124" w:type="dxa"/>
            <w:tcBorders/>
            <w:shd w:fill="CCEEFF" w:val="clear"/>
            <w:vAlign w:val="center"/>
          </w:tcPr>
          <w:p>
            <w:pPr>
              <w:pStyle w:val="TableContents"/>
              <w:bidi w:val="0"/>
              <w:spacing w:lineRule="auto" w:line="259" w:before="0" w:after="283"/>
              <w:jc w:val="left"/>
              <w:rPr/>
            </w:pPr>
            <w:hyperlink r:id="rId2">
              <w:r>
                <w:rPr>
                  <w:rStyle w:val="InternetLink"/>
                  <w:rFonts w:ascii="Times New Roman;serif" w:hAnsi="Times New Roman;serif"/>
                  <w:b w:val="false"/>
                  <w:i w:val="false"/>
                  <w:caps w:val="false"/>
                  <w:smallCaps w:val="false"/>
                  <w:color w:val="0000FF"/>
                  <w:sz w:val="20"/>
                  <w:u w:val="single"/>
                </w:rPr>
                <w:t>Amended and Restated Certificate of Incorporation of Koss Corporation, as in effect on November 19, 2009. Filed as Exhibit 3.1 to the Company’s Quarterly Report on Form 10-Q for the period ended December 31, 2009 and incorporated herein by reference.</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w:t>
            </w:r>
          </w:p>
        </w:tc>
        <w:tc>
          <w:tcPr>
            <w:tcW w:w="9124" w:type="dxa"/>
            <w:tcBorders/>
            <w:vAlign w:val="center"/>
          </w:tcPr>
          <w:p>
            <w:pPr>
              <w:pStyle w:val="TableContents"/>
              <w:bidi w:val="0"/>
              <w:spacing w:lineRule="auto" w:line="259" w:before="0" w:after="283"/>
              <w:jc w:val="left"/>
              <w:rPr/>
            </w:pPr>
            <w:hyperlink r:id="rId3">
              <w:r>
                <w:rPr>
                  <w:rStyle w:val="InternetLink"/>
                  <w:rFonts w:ascii="Times New Roman;serif" w:hAnsi="Times New Roman;serif"/>
                  <w:b w:val="false"/>
                  <w:i w:val="false"/>
                  <w:caps w:val="false"/>
                  <w:smallCaps w:val="false"/>
                  <w:color w:val="0000FF"/>
                  <w:sz w:val="20"/>
                  <w:u w:val="single"/>
                </w:rPr>
                <w:t>By-Laws of Koss Corporation. Filed as Exhibit 3.2 to the Company’s Annual Report on Form 10-K for the year ended June 30, 1996 and incorporated herein by reference.</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w:t>
            </w:r>
          </w:p>
        </w:tc>
        <w:tc>
          <w:tcPr>
            <w:tcW w:w="9124" w:type="dxa"/>
            <w:tcBorders/>
            <w:shd w:fill="CCEEFF" w:val="clear"/>
            <w:vAlign w:val="center"/>
          </w:tcPr>
          <w:p>
            <w:pPr>
              <w:pStyle w:val="TableContents"/>
              <w:bidi w:val="0"/>
              <w:spacing w:lineRule="auto" w:line="259" w:before="0" w:after="283"/>
              <w:jc w:val="left"/>
              <w:rPr/>
            </w:pPr>
            <w:hyperlink r:id="rId4">
              <w:r>
                <w:rPr>
                  <w:rStyle w:val="InternetLink"/>
                  <w:rFonts w:ascii="Times New Roman;serif" w:hAnsi="Times New Roman;serif"/>
                  <w:b w:val="false"/>
                  <w:i w:val="false"/>
                  <w:caps w:val="false"/>
                  <w:smallCaps w:val="false"/>
                  <w:color w:val="0000FF"/>
                  <w:sz w:val="20"/>
                  <w:u w:val="single"/>
                </w:rPr>
                <w:t>Amendment to the By-Laws of Koss Corporation. Filed as Exhibit 3.3 to the Company’s Current Report on Form 8-K on March 9, 2006 and incorporated herein by reference.</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c>
          <w:tcPr>
            <w:tcW w:w="9124" w:type="dxa"/>
            <w:tcBorders/>
            <w:vAlign w:val="center"/>
          </w:tcPr>
          <w:p>
            <w:pPr>
              <w:pStyle w:val="TableContents"/>
              <w:bidi w:val="0"/>
              <w:spacing w:lineRule="auto" w:line="259" w:before="0" w:after="283"/>
              <w:jc w:val="left"/>
              <w:rPr/>
            </w:pPr>
            <w:hyperlink r:id="rId5">
              <w:r>
                <w:rPr>
                  <w:rStyle w:val="InternetLink"/>
                  <w:rFonts w:ascii="Times New Roman;serif" w:hAnsi="Times New Roman;serif"/>
                  <w:b w:val="false"/>
                  <w:i w:val="false"/>
                  <w:caps w:val="false"/>
                  <w:smallCaps w:val="false"/>
                  <w:color w:val="0000FF"/>
                  <w:sz w:val="20"/>
                  <w:u w:val="single"/>
                </w:rPr>
                <w:t>Amendment to the By-Laws of Koss Corporation. Filed as Exhibit 3.4 to the Company’s Annual Report on Form 10-K on August 27, 2020 and incorporated herein by reference.</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31.1</w:t>
            </w:r>
          </w:p>
        </w:tc>
        <w:tc>
          <w:tcPr>
            <w:tcW w:w="9124" w:type="dxa"/>
            <w:tcBorders/>
            <w:shd w:fill="CCEEFF" w:val="clear"/>
            <w:vAlign w:val="center"/>
          </w:tcPr>
          <w:p>
            <w:pPr>
              <w:pStyle w:val="TableContents"/>
              <w:bidi w:val="0"/>
              <w:spacing w:lineRule="auto" w:line="259" w:before="0" w:after="283"/>
              <w:jc w:val="left"/>
              <w:rPr/>
            </w:pPr>
            <w:hyperlink w:anchor="koss-20260331xex31_1.htm">
              <w:r>
                <w:rPr>
                  <w:rStyle w:val="InternetLink"/>
                  <w:rFonts w:ascii="Times New Roman;serif" w:hAnsi="Times New Roman;serif"/>
                  <w:b w:val="false"/>
                  <w:i w:val="false"/>
                  <w:caps w:val="false"/>
                  <w:smallCaps w:val="false"/>
                  <w:color w:val="0000FF"/>
                  <w:sz w:val="20"/>
                  <w:u w:val="single"/>
                </w:rPr>
                <w:t>Rule 13a-14(a)/15d-14(a) Certification of Chief Executive Officer *</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31.2</w:t>
            </w:r>
          </w:p>
        </w:tc>
        <w:tc>
          <w:tcPr>
            <w:tcW w:w="9124" w:type="dxa"/>
            <w:tcBorders/>
            <w:vAlign w:val="center"/>
          </w:tcPr>
          <w:p>
            <w:pPr>
              <w:pStyle w:val="TableContents"/>
              <w:bidi w:val="0"/>
              <w:spacing w:lineRule="auto" w:line="259" w:before="0" w:after="283"/>
              <w:jc w:val="left"/>
              <w:rPr/>
            </w:pPr>
            <w:hyperlink w:anchor="koss-20260331xex31_2.htm">
              <w:r>
                <w:rPr>
                  <w:rStyle w:val="InternetLink"/>
                  <w:rFonts w:ascii="Times New Roman;serif" w:hAnsi="Times New Roman;serif"/>
                  <w:b w:val="false"/>
                  <w:i w:val="false"/>
                  <w:caps w:val="false"/>
                  <w:smallCaps w:val="false"/>
                  <w:color w:val="0000FF"/>
                  <w:sz w:val="20"/>
                  <w:u w:val="single"/>
                </w:rPr>
                <w:t>Rule 13a-14(a)/15d-14(a) Certification of Chief Financial Officer *</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32.1</w:t>
            </w:r>
          </w:p>
        </w:tc>
        <w:tc>
          <w:tcPr>
            <w:tcW w:w="9124" w:type="dxa"/>
            <w:tcBorders/>
            <w:shd w:fill="CCEEFF" w:val="clear"/>
            <w:vAlign w:val="center"/>
          </w:tcPr>
          <w:p>
            <w:pPr>
              <w:pStyle w:val="TableContents"/>
              <w:bidi w:val="0"/>
              <w:spacing w:lineRule="auto" w:line="259" w:before="0" w:after="283"/>
              <w:jc w:val="left"/>
              <w:rPr/>
            </w:pPr>
            <w:hyperlink w:anchor="koss-20260331xex32_1.htm">
              <w:r>
                <w:rPr>
                  <w:rStyle w:val="InternetLink"/>
                  <w:rFonts w:ascii="Times New Roman;serif" w:hAnsi="Times New Roman;serif"/>
                  <w:b w:val="false"/>
                  <w:i w:val="false"/>
                  <w:caps w:val="false"/>
                  <w:smallCaps w:val="false"/>
                  <w:color w:val="0000FF"/>
                  <w:sz w:val="20"/>
                  <w:u w:val="single"/>
                </w:rPr>
                <w:t>Certification of Michael Koss, Chief Executive Officer, pursuant to 18 U.S.C. Section 1350 as adopted pursuant to Section 906 of the Sarbanes-Oxley Act of 2002 **</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32.2</w:t>
            </w:r>
          </w:p>
        </w:tc>
        <w:tc>
          <w:tcPr>
            <w:tcW w:w="9124" w:type="dxa"/>
            <w:tcBorders/>
            <w:vAlign w:val="center"/>
          </w:tcPr>
          <w:p>
            <w:pPr>
              <w:pStyle w:val="TableContents"/>
              <w:bidi w:val="0"/>
              <w:spacing w:lineRule="auto" w:line="259" w:before="0" w:after="283"/>
              <w:jc w:val="left"/>
              <w:rPr/>
            </w:pPr>
            <w:hyperlink w:anchor="koss-20260331xex32_2.htm">
              <w:r>
                <w:rPr>
                  <w:rStyle w:val="InternetLink"/>
                  <w:rFonts w:ascii="Times New Roman;serif" w:hAnsi="Times New Roman;serif"/>
                  <w:b w:val="false"/>
                  <w:i w:val="false"/>
                  <w:caps w:val="false"/>
                  <w:smallCaps w:val="false"/>
                  <w:color w:val="0000FF"/>
                  <w:sz w:val="20"/>
                  <w:u w:val="single"/>
                </w:rPr>
                <w:t>Certification of Kim Schulte, Chief Financial Officer, pursuant to 18 U.S.C. Section 1350 as adopted pursuant to Section 906 of the Sarbanes-Oxley Act of 2002 **</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w:t>
            </w:r>
          </w:p>
        </w:tc>
        <w:tc>
          <w:tcPr>
            <w:tcW w:w="912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financial information from Koss Corporation's Quarterly Report on Form 10-Q for the quarter ended March 31, 2026, formatted in XBRL (eXtensible Business Reporting Language): (i) Condensed Consolidated Balance Sheets as of March 31, 2026 and June 30, 2025, (ii) Condensed Consolidated Statements of Operations (Unaudited) for the three and nine months ended March 31, 2026 and 2025, (iii) Condensed Consolidated Statements of Comprehensive Loss for the three and nine months ended March 31, 2026 and 2025, (iv) Condensed Consolidated Statements of Cash Flows (Unaudited) for the nine months ended March 31, 2026 and 2025, (vi) Condensed Consolidated Statements of Stockholders' Equity (Unaudited) for the three and nine months ended March 31, 2026 and 2025 and (v) the Notes to Condensed Consolidated Financial Statements (Unaudited).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__________________________</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*Filed herewith</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Furnished herewith. 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SIGNATURES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and Exchange Act of 1934, the registrant has duly caused this report to be signed on its behalf by the undersigned thereunto duly authorized.</w:t>
      </w:r>
    </w:p>
    <w:p>
      <w:pPr>
        <w:pStyle w:val="TextBody"/>
        <w:bidi w:val="0"/>
        <w:spacing w:lineRule="auto" w:line="259"/>
        <w:rPr>
          <w:caps w:val="false"/>
          <w:smallCaps w:val="false"/>
        </w:rPr>
      </w:pPr>
      <w:r>
        <w:rPr>
          <w:caps w:val="false"/>
          <w:smallCaps w:val="false"/>
        </w:rPr>
        <w:t> </w:t>
      </w:r>
    </w:p>
    <w:tbl>
      <w:tblPr>
        <w:tblW w:w="3756" w:type="dxa"/>
        <w:jc w:val="left"/>
        <w:tblInd w:w="0" w:type="dxa"/>
        <w:tblLayout w:type="fixed"/>
        <w:tblCellMar>
          <w:top w:w="0" w:type="dxa"/>
          <w:left w:w="0" w:type="dxa"/>
          <w:bottom w:w="0" w:type="dxa"/>
          <w:right w:w="0" w:type="dxa"/>
        </w:tblCellMar>
      </w:tblPr>
      <w:tblGrid>
        <w:gridCol w:w="2461"/>
        <w:gridCol w:w="109"/>
        <w:gridCol w:w="1186"/>
      </w:tblGrid>
      <w:tr>
        <w:trPr/>
        <w:tc>
          <w:tcPr>
            <w:tcW w:w="2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4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KOSS CORPORATION</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46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46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Michael J. Koss</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May 8, 2026</w:t>
            </w:r>
          </w:p>
        </w:tc>
      </w:tr>
      <w:tr>
        <w:trPr/>
        <w:tc>
          <w:tcPr>
            <w:tcW w:w="24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Michael J. Koss</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4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Chairman</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4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Chief Executive Officer</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46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46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Kim M. Schulte</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May 8, 2026</w:t>
            </w:r>
          </w:p>
        </w:tc>
      </w:tr>
      <w:tr>
        <w:trPr/>
        <w:tc>
          <w:tcPr>
            <w:tcW w:w="24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Kim M. Schulte</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4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Chief Financial Officer</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4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Principal Accounting Officer</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TextBody"/>
        <w:bidi w:val="0"/>
        <w:spacing w:lineRule="auto" w:line="240" w:before="0" w:after="0"/>
        <w:ind w:left="720" w:right="720" w:hanging="0"/>
        <w:jc w:val="right"/>
        <w:rPr>
          <w:rFonts w:ascii="Times New Roman" w:hAnsi="Times New Roman"/>
          <w:sz w:val="20"/>
        </w:rPr>
      </w:pPr>
      <w:bookmarkStart w:id="24" w:name="koss-20260331xex31_1.htm"/>
      <w:bookmarkStart w:id="25" w:name="kskoss20260331xex31_1"/>
      <w:bookmarkEnd w:id="24"/>
      <w:bookmarkEnd w:id="25"/>
      <w:r>
        <w:rPr>
          <w:rFonts w:ascii="Times New Roman" w:hAnsi="Times New Roman"/>
          <w:b/>
          <w:sz w:val="20"/>
        </w:rPr>
        <w:t>Exhibit 31.1</w:t>
      </w:r>
      <w:r>
        <w:rPr>
          <w:rFonts w:ascii="Times New Roman" w:hAnsi="Times New Roman"/>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Certification of Chief Executive Officer </w:t>
      </w:r>
      <w:r>
        <w:rPr>
          <w:rFonts w:ascii="Times New Roman" w:hAnsi="Times New Roman"/>
          <w:sz w:val="20"/>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bidi w:val="0"/>
        <w:spacing w:lineRule="auto" w:line="240" w:before="0" w:after="0"/>
        <w:ind w:left="864" w:right="864" w:hanging="0"/>
        <w:jc w:val="center"/>
        <w:rPr/>
      </w:pPr>
      <w:r>
        <w:rPr/>
        <w:t xml:space="preserve">  </w:t>
      </w:r>
    </w:p>
    <w:p>
      <w:pPr>
        <w:pStyle w:val="TextBody"/>
        <w:bidi w:val="0"/>
        <w:spacing w:lineRule="auto" w:line="240" w:before="0" w:after="240"/>
        <w:ind w:left="864" w:right="864" w:hanging="0"/>
        <w:jc w:val="left"/>
        <w:rPr>
          <w:rFonts w:ascii="Times New Roman" w:hAnsi="Times New Roman"/>
          <w:sz w:val="20"/>
        </w:rPr>
      </w:pPr>
      <w:r>
        <w:rPr>
          <w:rFonts w:ascii="Times New Roman" w:hAnsi="Times New Roman"/>
          <w:sz w:val="20"/>
        </w:rPr>
        <w:t xml:space="preserve">I, Michael J. Koss, certify that: </w:t>
      </w:r>
    </w:p>
    <w:tbl>
      <w:tblPr>
        <w:tblW w:w="6578" w:type="dxa"/>
        <w:jc w:val="left"/>
        <w:tblInd w:w="720" w:type="dxa"/>
        <w:tblLayout w:type="fixed"/>
        <w:tblCellMar>
          <w:top w:w="0" w:type="dxa"/>
          <w:left w:w="0" w:type="dxa"/>
          <w:bottom w:w="0" w:type="dxa"/>
          <w:right w:w="0" w:type="dxa"/>
        </w:tblCellMar>
      </w:tblPr>
      <w:tblGrid>
        <w:gridCol w:w="38"/>
        <w:gridCol w:w="503"/>
        <w:gridCol w:w="23"/>
        <w:gridCol w:w="6014"/>
      </w:tblGrid>
      <w:tr>
        <w:trPr/>
        <w:tc>
          <w:tcPr>
            <w:tcW w:w="38" w:type="dxa"/>
            <w:tcBorders/>
            <w:vAlign w:val="center"/>
          </w:tcPr>
          <w:p>
            <w:pPr>
              <w:pStyle w:val="TableContents"/>
              <w:bidi w:val="0"/>
              <w:spacing w:before="0" w:after="283"/>
              <w:jc w:val="left"/>
              <w:rPr>
                <w:sz w:val="4"/>
                <w:szCs w:val="4"/>
              </w:rPr>
            </w:pPr>
            <w:r>
              <w:rPr>
                <w:sz w:val="4"/>
                <w:szCs w:val="4"/>
              </w:rPr>
            </w:r>
          </w:p>
        </w:tc>
        <w:tc>
          <w:tcPr>
            <w:tcW w:w="503"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sz w:val="2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014"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I have reviewed this quarterly report on Form 10-Q of Koss Corporation;</w:t>
            </w:r>
          </w:p>
        </w:tc>
      </w:tr>
    </w:tbl>
    <w:tbl>
      <w:tblPr>
        <w:tblW w:w="8765" w:type="dxa"/>
        <w:jc w:val="left"/>
        <w:tblInd w:w="720" w:type="dxa"/>
        <w:tblLayout w:type="fixed"/>
        <w:tblCellMar>
          <w:top w:w="0" w:type="dxa"/>
          <w:left w:w="0" w:type="dxa"/>
          <w:bottom w:w="0" w:type="dxa"/>
          <w:right w:w="0" w:type="dxa"/>
        </w:tblCellMar>
      </w:tblPr>
      <w:tblGrid>
        <w:gridCol w:w="38"/>
        <w:gridCol w:w="440"/>
        <w:gridCol w:w="23"/>
        <w:gridCol w:w="8264"/>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sz w:val="2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8264"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8765" w:type="dxa"/>
        <w:jc w:val="left"/>
        <w:tblInd w:w="720" w:type="dxa"/>
        <w:tblLayout w:type="fixed"/>
        <w:tblCellMar>
          <w:top w:w="0" w:type="dxa"/>
          <w:left w:w="0" w:type="dxa"/>
          <w:bottom w:w="0" w:type="dxa"/>
          <w:right w:w="0" w:type="dxa"/>
        </w:tblCellMar>
      </w:tblPr>
      <w:tblGrid>
        <w:gridCol w:w="38"/>
        <w:gridCol w:w="442"/>
        <w:gridCol w:w="23"/>
        <w:gridCol w:w="8262"/>
      </w:tblGrid>
      <w:tr>
        <w:trPr/>
        <w:tc>
          <w:tcPr>
            <w:tcW w:w="38" w:type="dxa"/>
            <w:tcBorders/>
            <w:vAlign w:val="center"/>
          </w:tcPr>
          <w:p>
            <w:pPr>
              <w:pStyle w:val="TableContents"/>
              <w:bidi w:val="0"/>
              <w:spacing w:before="0" w:after="283"/>
              <w:jc w:val="left"/>
              <w:rPr>
                <w:sz w:val="4"/>
                <w:szCs w:val="4"/>
              </w:rPr>
            </w:pPr>
            <w:r>
              <w:rPr>
                <w:sz w:val="4"/>
                <w:szCs w:val="4"/>
              </w:rPr>
            </w:r>
          </w:p>
        </w:tc>
        <w:tc>
          <w:tcPr>
            <w:tcW w:w="442"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sz w:val="2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8262"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Based on my knowledge, the condensed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8765" w:type="dxa"/>
        <w:jc w:val="left"/>
        <w:tblInd w:w="720" w:type="dxa"/>
        <w:tblLayout w:type="fixed"/>
        <w:tblCellMar>
          <w:top w:w="0" w:type="dxa"/>
          <w:left w:w="0" w:type="dxa"/>
          <w:bottom w:w="0" w:type="dxa"/>
          <w:right w:w="0" w:type="dxa"/>
        </w:tblCellMar>
      </w:tblPr>
      <w:tblGrid>
        <w:gridCol w:w="38"/>
        <w:gridCol w:w="438"/>
        <w:gridCol w:w="23"/>
        <w:gridCol w:w="8266"/>
      </w:tblGrid>
      <w:tr>
        <w:trPr/>
        <w:tc>
          <w:tcPr>
            <w:tcW w:w="38" w:type="dxa"/>
            <w:tcBorders/>
            <w:vAlign w:val="center"/>
          </w:tcPr>
          <w:p>
            <w:pPr>
              <w:pStyle w:val="TableContents"/>
              <w:bidi w:val="0"/>
              <w:spacing w:before="0" w:after="283"/>
              <w:jc w:val="left"/>
              <w:rPr>
                <w:sz w:val="4"/>
                <w:szCs w:val="4"/>
              </w:rPr>
            </w:pPr>
            <w:r>
              <w:rPr>
                <w:sz w:val="4"/>
                <w:szCs w:val="4"/>
              </w:rPr>
            </w:r>
          </w:p>
        </w:tc>
        <w:tc>
          <w:tcPr>
            <w:tcW w:w="438"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sz w:val="2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8266"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a)    designed such disclosure controls and procedures, or caused such disclosure controls and procedures to be designed under my supervision, to ensure that material information relating to the registrant, including its subsidiary, is made known to me by others within those entities, particularly during the period in which this report is being prepared;</w:t>
      </w:r>
      <w:r>
        <w:rPr>
          <w:rFonts w:ascii="Times New Roman" w:hAnsi="Times New Roman"/>
          <w:sz w:val="20"/>
        </w:rPr>
        <w:t xml:space="preserve"> </w:t>
      </w:r>
    </w:p>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tbl>
      <w:tblPr>
        <w:tblW w:w="8765" w:type="dxa"/>
        <w:jc w:val="left"/>
        <w:tblInd w:w="720" w:type="dxa"/>
        <w:tblLayout w:type="fixed"/>
        <w:tblCellMar>
          <w:top w:w="0" w:type="dxa"/>
          <w:left w:w="0" w:type="dxa"/>
          <w:bottom w:w="0" w:type="dxa"/>
          <w:right w:w="0" w:type="dxa"/>
        </w:tblCellMar>
      </w:tblPr>
      <w:tblGrid>
        <w:gridCol w:w="38"/>
        <w:gridCol w:w="443"/>
        <w:gridCol w:w="23"/>
        <w:gridCol w:w="8261"/>
      </w:tblGrid>
      <w:tr>
        <w:trPr/>
        <w:tc>
          <w:tcPr>
            <w:tcW w:w="38" w:type="dxa"/>
            <w:tcBorders/>
            <w:vAlign w:val="center"/>
          </w:tcPr>
          <w:p>
            <w:pPr>
              <w:pStyle w:val="TableContents"/>
              <w:bidi w:val="0"/>
              <w:spacing w:before="0" w:after="283"/>
              <w:jc w:val="left"/>
              <w:rPr>
                <w:sz w:val="4"/>
                <w:szCs w:val="4"/>
              </w:rPr>
            </w:pPr>
            <w:r>
              <w:rPr>
                <w:sz w:val="4"/>
                <w:szCs w:val="4"/>
              </w:rPr>
            </w:r>
          </w:p>
        </w:tc>
        <w:tc>
          <w:tcPr>
            <w:tcW w:w="443"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8261"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tbl>
      <w:tblPr>
        <w:tblW w:w="3215" w:type="dxa"/>
        <w:jc w:val="left"/>
        <w:tblInd w:w="720" w:type="dxa"/>
        <w:tblLayout w:type="fixed"/>
        <w:tblCellMar>
          <w:top w:w="0" w:type="dxa"/>
          <w:left w:w="0" w:type="dxa"/>
          <w:bottom w:w="0" w:type="dxa"/>
          <w:right w:w="0" w:type="dxa"/>
        </w:tblCellMar>
      </w:tblPr>
      <w:tblGrid>
        <w:gridCol w:w="3140"/>
        <w:gridCol w:w="75"/>
      </w:tblGrid>
      <w:tr>
        <w:trPr/>
        <w:tc>
          <w:tcPr>
            <w:tcW w:w="3140" w:type="dxa"/>
            <w:tcBorders/>
            <w:vAlign w:val="bottom"/>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140"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Dated: May 8, 2026</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14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Michael J. Koss</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140"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Michael J. Koss</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140"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Chairman and Chief Executive Officer</w:t>
            </w:r>
          </w:p>
        </w:tc>
        <w:tc>
          <w:tcPr>
            <w:tcW w:w="75" w:type="dxa"/>
            <w:tcBorders/>
            <w:vAlign w:val="bottom"/>
          </w:tcPr>
          <w:p>
            <w:pPr>
              <w:pStyle w:val="TableContents"/>
              <w:bidi w:val="0"/>
              <w:spacing w:lineRule="auto" w:line="240" w:before="0" w:after="0"/>
              <w:ind w:left="0" w:right="0" w:hanging="0"/>
              <w:jc w:val="left"/>
              <w:rPr/>
            </w:pPr>
            <w:r>
              <w:rPr/>
              <w:t> </w:t>
            </w:r>
          </w:p>
        </w:tc>
      </w:tr>
    </w:tbl>
    <w:p>
      <w:pPr>
        <w:pStyle w:val="TextBody"/>
        <w:bidi w:val="0"/>
        <w:spacing w:lineRule="auto" w:line="240" w:before="0" w:after="0"/>
        <w:ind w:left="720" w:right="720" w:hanging="0"/>
        <w:jc w:val="left"/>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bidi w:val="0"/>
        <w:ind w:left="720" w:right="720" w:hanging="0"/>
        <w:jc w:val="left"/>
        <w:rPr/>
      </w:pPr>
      <w:r>
        <w:rPr/>
      </w:r>
    </w:p>
    <w:p>
      <w:pPr>
        <w:pStyle w:val="TextBody"/>
        <w:bidi w:val="0"/>
        <w:spacing w:lineRule="auto" w:line="240" w:before="0" w:after="0"/>
        <w:ind w:left="720" w:right="720" w:hanging="0"/>
        <w:jc w:val="right"/>
        <w:rPr>
          <w:rFonts w:ascii="Times New Roman" w:hAnsi="Times New Roman"/>
          <w:sz w:val="20"/>
        </w:rPr>
      </w:pPr>
      <w:bookmarkStart w:id="26" w:name="koss-20260331xex31_2.htm"/>
      <w:bookmarkStart w:id="27" w:name="kskoss20260331xex31_2"/>
      <w:bookmarkEnd w:id="26"/>
      <w:bookmarkEnd w:id="27"/>
      <w:r>
        <w:rPr>
          <w:rFonts w:ascii="Times New Roman" w:hAnsi="Times New Roman"/>
          <w:b/>
          <w:sz w:val="20"/>
        </w:rPr>
        <w:t>Exhibit 31.2</w:t>
      </w:r>
      <w:r>
        <w:rPr>
          <w:rFonts w:ascii="Times New Roman" w:hAnsi="Times New Roman"/>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Certification of Chief Financial Officer </w:t>
      </w:r>
      <w:r>
        <w:rPr>
          <w:rFonts w:ascii="Times New Roman" w:hAnsi="Times New Roman"/>
          <w:sz w:val="20"/>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bidi w:val="0"/>
        <w:spacing w:lineRule="auto" w:line="240" w:before="0" w:after="0"/>
        <w:ind w:left="864" w:right="864" w:hanging="0"/>
        <w:jc w:val="center"/>
        <w:rPr/>
      </w:pPr>
      <w:r>
        <w:rPr/>
        <w:t xml:space="preserve">  </w:t>
      </w:r>
    </w:p>
    <w:p>
      <w:pPr>
        <w:pStyle w:val="TextBody"/>
        <w:bidi w:val="0"/>
        <w:spacing w:lineRule="auto" w:line="240" w:before="0" w:after="240"/>
        <w:ind w:left="864" w:right="864" w:hanging="0"/>
        <w:jc w:val="left"/>
        <w:rPr>
          <w:rFonts w:ascii="Times New Roman" w:hAnsi="Times New Roman"/>
          <w:sz w:val="20"/>
        </w:rPr>
      </w:pPr>
      <w:r>
        <w:rPr>
          <w:rFonts w:ascii="Times New Roman" w:hAnsi="Times New Roman"/>
          <w:sz w:val="20"/>
        </w:rPr>
        <w:t xml:space="preserve">I, Kim M. Schulte, certify that: </w:t>
      </w:r>
    </w:p>
    <w:tbl>
      <w:tblPr>
        <w:tblW w:w="6578" w:type="dxa"/>
        <w:jc w:val="left"/>
        <w:tblInd w:w="720" w:type="dxa"/>
        <w:tblLayout w:type="fixed"/>
        <w:tblCellMar>
          <w:top w:w="0" w:type="dxa"/>
          <w:left w:w="0" w:type="dxa"/>
          <w:bottom w:w="0" w:type="dxa"/>
          <w:right w:w="0" w:type="dxa"/>
        </w:tblCellMar>
      </w:tblPr>
      <w:tblGrid>
        <w:gridCol w:w="38"/>
        <w:gridCol w:w="503"/>
        <w:gridCol w:w="23"/>
        <w:gridCol w:w="6014"/>
      </w:tblGrid>
      <w:tr>
        <w:trPr/>
        <w:tc>
          <w:tcPr>
            <w:tcW w:w="38" w:type="dxa"/>
            <w:tcBorders/>
            <w:vAlign w:val="center"/>
          </w:tcPr>
          <w:p>
            <w:pPr>
              <w:pStyle w:val="TableContents"/>
              <w:bidi w:val="0"/>
              <w:spacing w:before="0" w:after="283"/>
              <w:jc w:val="left"/>
              <w:rPr>
                <w:sz w:val="4"/>
                <w:szCs w:val="4"/>
              </w:rPr>
            </w:pPr>
            <w:r>
              <w:rPr>
                <w:sz w:val="4"/>
                <w:szCs w:val="4"/>
              </w:rPr>
            </w:r>
          </w:p>
        </w:tc>
        <w:tc>
          <w:tcPr>
            <w:tcW w:w="503"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sz w:val="2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014"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I have reviewed this quarterly report on Form 10-Q of Koss Corporation;</w:t>
            </w:r>
          </w:p>
        </w:tc>
      </w:tr>
    </w:tbl>
    <w:tbl>
      <w:tblPr>
        <w:tblW w:w="8765" w:type="dxa"/>
        <w:jc w:val="left"/>
        <w:tblInd w:w="720" w:type="dxa"/>
        <w:tblLayout w:type="fixed"/>
        <w:tblCellMar>
          <w:top w:w="0" w:type="dxa"/>
          <w:left w:w="0" w:type="dxa"/>
          <w:bottom w:w="0" w:type="dxa"/>
          <w:right w:w="0" w:type="dxa"/>
        </w:tblCellMar>
      </w:tblPr>
      <w:tblGrid>
        <w:gridCol w:w="38"/>
        <w:gridCol w:w="440"/>
        <w:gridCol w:w="23"/>
        <w:gridCol w:w="8264"/>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sz w:val="2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8264"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8765" w:type="dxa"/>
        <w:jc w:val="left"/>
        <w:tblInd w:w="720" w:type="dxa"/>
        <w:tblLayout w:type="fixed"/>
        <w:tblCellMar>
          <w:top w:w="0" w:type="dxa"/>
          <w:left w:w="0" w:type="dxa"/>
          <w:bottom w:w="0" w:type="dxa"/>
          <w:right w:w="0" w:type="dxa"/>
        </w:tblCellMar>
      </w:tblPr>
      <w:tblGrid>
        <w:gridCol w:w="38"/>
        <w:gridCol w:w="442"/>
        <w:gridCol w:w="23"/>
        <w:gridCol w:w="8262"/>
      </w:tblGrid>
      <w:tr>
        <w:trPr/>
        <w:tc>
          <w:tcPr>
            <w:tcW w:w="38" w:type="dxa"/>
            <w:tcBorders/>
            <w:vAlign w:val="center"/>
          </w:tcPr>
          <w:p>
            <w:pPr>
              <w:pStyle w:val="TableContents"/>
              <w:bidi w:val="0"/>
              <w:spacing w:before="0" w:after="283"/>
              <w:jc w:val="left"/>
              <w:rPr>
                <w:sz w:val="4"/>
                <w:szCs w:val="4"/>
              </w:rPr>
            </w:pPr>
            <w:r>
              <w:rPr>
                <w:sz w:val="4"/>
                <w:szCs w:val="4"/>
              </w:rPr>
            </w:r>
          </w:p>
        </w:tc>
        <w:tc>
          <w:tcPr>
            <w:tcW w:w="442"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sz w:val="2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8262"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Based on my knowledge, the condensed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8765" w:type="dxa"/>
        <w:jc w:val="left"/>
        <w:tblInd w:w="720" w:type="dxa"/>
        <w:tblLayout w:type="fixed"/>
        <w:tblCellMar>
          <w:top w:w="0" w:type="dxa"/>
          <w:left w:w="0" w:type="dxa"/>
          <w:bottom w:w="0" w:type="dxa"/>
          <w:right w:w="0" w:type="dxa"/>
        </w:tblCellMar>
      </w:tblPr>
      <w:tblGrid>
        <w:gridCol w:w="38"/>
        <w:gridCol w:w="438"/>
        <w:gridCol w:w="23"/>
        <w:gridCol w:w="8266"/>
      </w:tblGrid>
      <w:tr>
        <w:trPr/>
        <w:tc>
          <w:tcPr>
            <w:tcW w:w="38" w:type="dxa"/>
            <w:tcBorders/>
            <w:vAlign w:val="center"/>
          </w:tcPr>
          <w:p>
            <w:pPr>
              <w:pStyle w:val="TableContents"/>
              <w:bidi w:val="0"/>
              <w:spacing w:before="0" w:after="283"/>
              <w:jc w:val="left"/>
              <w:rPr>
                <w:sz w:val="4"/>
                <w:szCs w:val="4"/>
              </w:rPr>
            </w:pPr>
            <w:r>
              <w:rPr>
                <w:sz w:val="4"/>
                <w:szCs w:val="4"/>
              </w:rPr>
            </w:r>
          </w:p>
        </w:tc>
        <w:tc>
          <w:tcPr>
            <w:tcW w:w="438"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sz w:val="2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8266"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a)    designed such disclosure controls and procedures, or caused such disclosure controls and procedures to be designed under my supervision, to ensure that material information relating to the registrant, including its subsidiary, is made known to me by others within those entities, particularly during the period in which this report is being prepared;</w:t>
      </w:r>
      <w:r>
        <w:rPr>
          <w:rFonts w:ascii="Times New Roman" w:hAnsi="Times New Roman"/>
          <w:sz w:val="20"/>
        </w:rPr>
        <w:t xml:space="preserve"> </w:t>
      </w:r>
    </w:p>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tbl>
      <w:tblPr>
        <w:tblW w:w="8765" w:type="dxa"/>
        <w:jc w:val="left"/>
        <w:tblInd w:w="720" w:type="dxa"/>
        <w:tblLayout w:type="fixed"/>
        <w:tblCellMar>
          <w:top w:w="0" w:type="dxa"/>
          <w:left w:w="0" w:type="dxa"/>
          <w:bottom w:w="0" w:type="dxa"/>
          <w:right w:w="0" w:type="dxa"/>
        </w:tblCellMar>
      </w:tblPr>
      <w:tblGrid>
        <w:gridCol w:w="38"/>
        <w:gridCol w:w="443"/>
        <w:gridCol w:w="23"/>
        <w:gridCol w:w="8261"/>
      </w:tblGrid>
      <w:tr>
        <w:trPr/>
        <w:tc>
          <w:tcPr>
            <w:tcW w:w="38" w:type="dxa"/>
            <w:tcBorders/>
            <w:vAlign w:val="center"/>
          </w:tcPr>
          <w:p>
            <w:pPr>
              <w:pStyle w:val="TableContents"/>
              <w:bidi w:val="0"/>
              <w:spacing w:before="0" w:after="283"/>
              <w:jc w:val="left"/>
              <w:rPr>
                <w:sz w:val="4"/>
                <w:szCs w:val="4"/>
              </w:rPr>
            </w:pPr>
            <w:r>
              <w:rPr>
                <w:sz w:val="4"/>
                <w:szCs w:val="4"/>
              </w:rPr>
            </w:r>
          </w:p>
        </w:tc>
        <w:tc>
          <w:tcPr>
            <w:tcW w:w="443"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8261"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tbl>
      <w:tblPr>
        <w:tblW w:w="1970" w:type="dxa"/>
        <w:jc w:val="left"/>
        <w:tblInd w:w="720" w:type="dxa"/>
        <w:tblLayout w:type="fixed"/>
        <w:tblCellMar>
          <w:top w:w="0" w:type="dxa"/>
          <w:left w:w="0" w:type="dxa"/>
          <w:bottom w:w="0" w:type="dxa"/>
          <w:right w:w="0" w:type="dxa"/>
        </w:tblCellMar>
      </w:tblPr>
      <w:tblGrid>
        <w:gridCol w:w="1895"/>
        <w:gridCol w:w="75"/>
      </w:tblGrid>
      <w:tr>
        <w:trPr/>
        <w:tc>
          <w:tcPr>
            <w:tcW w:w="1895"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54" w:before="0" w:after="160"/>
              <w:ind w:left="0" w:right="0" w:hanging="0"/>
              <w:jc w:val="left"/>
              <w:rPr/>
            </w:pPr>
            <w:r>
              <w:rPr/>
              <w:t> </w:t>
            </w:r>
          </w:p>
        </w:tc>
      </w:tr>
      <w:tr>
        <w:trPr/>
        <w:tc>
          <w:tcPr>
            <w:tcW w:w="1895" w:type="dxa"/>
            <w:tcBorders/>
            <w:vAlign w:val="bottom"/>
          </w:tcPr>
          <w:p>
            <w:pPr>
              <w:pStyle w:val="TableContents"/>
              <w:bidi w:val="0"/>
              <w:spacing w:lineRule="auto" w:line="254" w:before="0" w:after="0"/>
              <w:ind w:left="0" w:right="0" w:hanging="0"/>
              <w:jc w:val="left"/>
              <w:rPr>
                <w:rFonts w:ascii="Times New Roman" w:hAnsi="Times New Roman"/>
                <w:color w:val="000000"/>
                <w:sz w:val="20"/>
              </w:rPr>
            </w:pPr>
            <w:r>
              <w:rPr>
                <w:rFonts w:ascii="Times New Roman" w:hAnsi="Times New Roman"/>
                <w:color w:val="000000"/>
                <w:sz w:val="20"/>
              </w:rPr>
              <w:t>Dated: May 8, 2026</w:t>
            </w:r>
          </w:p>
        </w:tc>
        <w:tc>
          <w:tcPr>
            <w:tcW w:w="75" w:type="dxa"/>
            <w:tcBorders/>
            <w:vAlign w:val="bottom"/>
          </w:tcPr>
          <w:p>
            <w:pPr>
              <w:pStyle w:val="TableContents"/>
              <w:bidi w:val="0"/>
              <w:spacing w:lineRule="auto" w:line="254" w:before="0" w:after="0"/>
              <w:ind w:left="0" w:right="0" w:hanging="0"/>
              <w:jc w:val="left"/>
              <w:rPr/>
            </w:pPr>
            <w:r>
              <w:rPr/>
              <w:t> </w:t>
            </w:r>
          </w:p>
        </w:tc>
      </w:tr>
      <w:tr>
        <w:trPr/>
        <w:tc>
          <w:tcPr>
            <w:tcW w:w="1895" w:type="dxa"/>
            <w:tcBorders/>
            <w:vAlign w:val="bottom"/>
          </w:tcPr>
          <w:p>
            <w:pPr>
              <w:pStyle w:val="TableContents"/>
              <w:bidi w:val="0"/>
              <w:spacing w:lineRule="auto" w:line="254" w:before="0" w:after="0"/>
              <w:ind w:left="0" w:right="0" w:hanging="0"/>
              <w:jc w:val="left"/>
              <w:rPr/>
            </w:pPr>
            <w:r>
              <w:rPr/>
              <w:t> </w:t>
            </w:r>
          </w:p>
        </w:tc>
        <w:tc>
          <w:tcPr>
            <w:tcW w:w="75" w:type="dxa"/>
            <w:tcBorders/>
            <w:vAlign w:val="bottom"/>
          </w:tcPr>
          <w:p>
            <w:pPr>
              <w:pStyle w:val="TableContents"/>
              <w:bidi w:val="0"/>
              <w:spacing w:lineRule="auto" w:line="254" w:before="0" w:after="0"/>
              <w:ind w:left="0" w:right="0" w:hanging="0"/>
              <w:jc w:val="left"/>
              <w:rPr/>
            </w:pPr>
            <w:r>
              <w:rPr/>
              <w:t> </w:t>
            </w:r>
          </w:p>
        </w:tc>
      </w:tr>
      <w:tr>
        <w:trPr/>
        <w:tc>
          <w:tcPr>
            <w:tcW w:w="1895" w:type="dxa"/>
            <w:tcBorders>
              <w:bottom w:val="single" w:sz="8" w:space="0" w:color="000000"/>
            </w:tcBorders>
            <w:tcMar>
              <w:bottom w:w="28" w:type="dxa"/>
            </w:tcMar>
            <w:vAlign w:val="bottom"/>
          </w:tcPr>
          <w:p>
            <w:pPr>
              <w:pStyle w:val="TableContents"/>
              <w:bidi w:val="0"/>
              <w:spacing w:lineRule="auto" w:line="254" w:before="0" w:after="0"/>
              <w:ind w:left="0" w:right="0" w:hanging="0"/>
              <w:jc w:val="left"/>
              <w:rPr>
                <w:rFonts w:ascii="Times New Roman" w:hAnsi="Times New Roman"/>
                <w:color w:val="000000"/>
                <w:sz w:val="20"/>
              </w:rPr>
            </w:pPr>
            <w:r>
              <w:rPr>
                <w:rFonts w:ascii="Times New Roman" w:hAnsi="Times New Roman"/>
                <w:color w:val="000000"/>
                <w:sz w:val="20"/>
              </w:rPr>
              <w:t>/s/ Kim M. Schulte</w:t>
            </w:r>
          </w:p>
        </w:tc>
        <w:tc>
          <w:tcPr>
            <w:tcW w:w="75" w:type="dxa"/>
            <w:tcBorders/>
            <w:vAlign w:val="bottom"/>
          </w:tcPr>
          <w:p>
            <w:pPr>
              <w:pStyle w:val="TableContents"/>
              <w:bidi w:val="0"/>
              <w:spacing w:lineRule="auto" w:line="254" w:before="0" w:after="0"/>
              <w:ind w:left="0" w:right="0" w:hanging="0"/>
              <w:jc w:val="left"/>
              <w:rPr/>
            </w:pPr>
            <w:r>
              <w:rPr/>
              <w:t> </w:t>
            </w:r>
          </w:p>
        </w:tc>
      </w:tr>
      <w:tr>
        <w:trPr/>
        <w:tc>
          <w:tcPr>
            <w:tcW w:w="1895" w:type="dxa"/>
            <w:tcBorders/>
            <w:vAlign w:val="bottom"/>
          </w:tcPr>
          <w:p>
            <w:pPr>
              <w:pStyle w:val="TableContents"/>
              <w:bidi w:val="0"/>
              <w:spacing w:lineRule="auto" w:line="254" w:before="0" w:after="0"/>
              <w:ind w:left="0" w:right="0" w:hanging="0"/>
              <w:jc w:val="left"/>
              <w:rPr>
                <w:rFonts w:ascii="Times New Roman" w:hAnsi="Times New Roman"/>
                <w:color w:val="000000"/>
                <w:sz w:val="20"/>
              </w:rPr>
            </w:pPr>
            <w:r>
              <w:rPr>
                <w:rFonts w:ascii="Times New Roman" w:hAnsi="Times New Roman"/>
                <w:color w:val="000000"/>
                <w:sz w:val="20"/>
              </w:rPr>
              <w:t>Kim M. Schulte</w:t>
            </w:r>
          </w:p>
        </w:tc>
        <w:tc>
          <w:tcPr>
            <w:tcW w:w="75" w:type="dxa"/>
            <w:tcBorders/>
            <w:vAlign w:val="bottom"/>
          </w:tcPr>
          <w:p>
            <w:pPr>
              <w:pStyle w:val="TableContents"/>
              <w:bidi w:val="0"/>
              <w:spacing w:lineRule="auto" w:line="254" w:before="0" w:after="0"/>
              <w:ind w:left="0" w:right="0" w:hanging="0"/>
              <w:jc w:val="left"/>
              <w:rPr/>
            </w:pPr>
            <w:r>
              <w:rPr/>
              <w:t> </w:t>
            </w:r>
          </w:p>
        </w:tc>
      </w:tr>
      <w:tr>
        <w:trPr/>
        <w:tc>
          <w:tcPr>
            <w:tcW w:w="1895" w:type="dxa"/>
            <w:tcBorders/>
            <w:vAlign w:val="bottom"/>
          </w:tcPr>
          <w:p>
            <w:pPr>
              <w:pStyle w:val="TableContents"/>
              <w:bidi w:val="0"/>
              <w:spacing w:lineRule="auto" w:line="254" w:before="0" w:after="0"/>
              <w:ind w:left="0" w:right="0" w:hanging="0"/>
              <w:jc w:val="left"/>
              <w:rPr>
                <w:rFonts w:ascii="Times New Roman" w:hAnsi="Times New Roman"/>
                <w:color w:val="000000"/>
                <w:sz w:val="20"/>
              </w:rPr>
            </w:pPr>
            <w:r>
              <w:rPr>
                <w:rFonts w:ascii="Times New Roman" w:hAnsi="Times New Roman"/>
                <w:color w:val="000000"/>
                <w:sz w:val="20"/>
              </w:rPr>
              <w:t>Chief Financial Officer</w:t>
            </w:r>
          </w:p>
        </w:tc>
        <w:tc>
          <w:tcPr>
            <w:tcW w:w="75" w:type="dxa"/>
            <w:tcBorders/>
            <w:vAlign w:val="bottom"/>
          </w:tcPr>
          <w:p>
            <w:pPr>
              <w:pStyle w:val="TableContents"/>
              <w:bidi w:val="0"/>
              <w:spacing w:lineRule="auto" w:line="254" w:before="0" w:after="0"/>
              <w:ind w:left="0" w:right="0" w:hanging="0"/>
              <w:jc w:val="left"/>
              <w:rPr/>
            </w:pPr>
            <w:r>
              <w:rPr/>
              <w:t> </w:t>
            </w:r>
          </w:p>
        </w:tc>
      </w:tr>
    </w:tbl>
    <w:p>
      <w:pPr>
        <w:pStyle w:val="TextBody"/>
        <w:bidi w:val="0"/>
        <w:spacing w:lineRule="auto" w:line="240" w:before="0" w:after="0"/>
        <w:ind w:left="720" w:right="720" w:hanging="0"/>
        <w:jc w:val="left"/>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bidi w:val="0"/>
        <w:ind w:left="720" w:right="720" w:hanging="0"/>
        <w:jc w:val="left"/>
        <w:rPr/>
      </w:pPr>
      <w:r>
        <w:rPr/>
      </w:r>
    </w:p>
    <w:p>
      <w:pPr>
        <w:pStyle w:val="TextBody"/>
        <w:bidi w:val="0"/>
        <w:spacing w:lineRule="auto" w:line="240" w:before="0" w:after="0"/>
        <w:ind w:left="720" w:right="720" w:hanging="0"/>
        <w:jc w:val="right"/>
        <w:rPr>
          <w:rFonts w:ascii="Times New Roman" w:hAnsi="Times New Roman"/>
          <w:sz w:val="20"/>
        </w:rPr>
      </w:pPr>
      <w:bookmarkStart w:id="28" w:name="koss-20260331xex32_1.htm"/>
      <w:bookmarkStart w:id="29" w:name="kskoss20260331xex32_1"/>
      <w:bookmarkEnd w:id="28"/>
      <w:bookmarkEnd w:id="29"/>
      <w:r>
        <w:rPr>
          <w:rFonts w:ascii="Times New Roman" w:hAnsi="Times New Roman"/>
          <w:b/>
          <w:sz w:val="20"/>
        </w:rPr>
        <w:t>Exhibit 32.1</w:t>
      </w:r>
      <w:r>
        <w:rPr>
          <w:rFonts w:ascii="Times New Roman" w:hAnsi="Times New Roman"/>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Certification of Chief Executive Officer</w:t>
      </w:r>
      <w:r>
        <w:rPr>
          <w:rFonts w:ascii="Times New Roman" w:hAnsi="Times New Roman"/>
          <w:sz w:val="20"/>
        </w:rPr>
        <w:t xml:space="preserve"> </w:t>
      </w:r>
    </w:p>
    <w:p>
      <w:pPr>
        <w:pStyle w:val="TextBody"/>
        <w:bidi w:val="0"/>
        <w:spacing w:lineRule="auto" w:line="240" w:before="0" w:after="0"/>
        <w:ind w:left="864" w:right="864" w:hanging="0"/>
        <w:jc w:val="center"/>
        <w:rPr>
          <w:rFonts w:ascii="Times New Roman" w:hAnsi="Times New Roman"/>
          <w:b/>
          <w:sz w:val="20"/>
        </w:rPr>
      </w:pPr>
      <w:r>
        <w:rPr>
          <w:rFonts w:ascii="Times New Roman" w:hAnsi="Times New Roman"/>
          <w:b/>
          <w:sz w:val="20"/>
        </w:rPr>
        <w:t xml:space="preserve">Pursuant to Section 906 of the Sarbanes-Oxley Act of 2002,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18 U.S.C. Section 1350</w:t>
      </w:r>
      <w:r>
        <w:rPr>
          <w:rFonts w:ascii="Times New Roman" w:hAnsi="Times New Roman"/>
          <w:sz w:val="20"/>
        </w:rPr>
        <w:t xml:space="preserve"> </w:t>
      </w:r>
    </w:p>
    <w:p>
      <w:pPr>
        <w:pStyle w:val="TextBody"/>
        <w:bidi w:val="0"/>
        <w:spacing w:lineRule="auto" w:line="240" w:before="0" w:after="0"/>
        <w:ind w:left="864" w:right="864" w:hanging="0"/>
        <w:jc w:val="center"/>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sz w:val="20"/>
        </w:rPr>
        <w:t xml:space="preserve">I, Michael J. Koss, Chief Executive Officer of Koss Corporation (the “Company”), hereby certify, pursuant to Section 906 of the Sarbanes-Oxley Act of 2002, 18 U.S.C. Section 1350 that to my knowledge: </w:t>
      </w:r>
    </w:p>
    <w:p>
      <w:pPr>
        <w:pStyle w:val="TextBody"/>
        <w:bidi w:val="0"/>
        <w:spacing w:lineRule="auto" w:line="240" w:before="0" w:after="0"/>
        <w:ind w:left="864" w:right="864" w:hanging="0"/>
        <w:jc w:val="left"/>
        <w:rPr/>
      </w:pPr>
      <w:r>
        <w:rPr/>
        <w:t xml:space="preserve">  </w:t>
      </w:r>
    </w:p>
    <w:tbl>
      <w:tblPr>
        <w:tblW w:w="8765" w:type="dxa"/>
        <w:jc w:val="left"/>
        <w:tblInd w:w="720" w:type="dxa"/>
        <w:tblLayout w:type="fixed"/>
        <w:tblCellMar>
          <w:top w:w="0" w:type="dxa"/>
          <w:left w:w="0" w:type="dxa"/>
          <w:bottom w:w="0" w:type="dxa"/>
          <w:right w:w="0" w:type="dxa"/>
        </w:tblCellMar>
      </w:tblPr>
      <w:tblGrid>
        <w:gridCol w:w="38"/>
        <w:gridCol w:w="466"/>
        <w:gridCol w:w="23"/>
        <w:gridCol w:w="8238"/>
      </w:tblGrid>
      <w:tr>
        <w:trPr/>
        <w:tc>
          <w:tcPr>
            <w:tcW w:w="38" w:type="dxa"/>
            <w:tcBorders/>
            <w:vAlign w:val="center"/>
          </w:tcPr>
          <w:p>
            <w:pPr>
              <w:pStyle w:val="TableContents"/>
              <w:bidi w:val="0"/>
              <w:spacing w:before="0" w:after="283"/>
              <w:jc w:val="left"/>
              <w:rPr>
                <w:sz w:val="4"/>
                <w:szCs w:val="4"/>
              </w:rPr>
            </w:pPr>
            <w:r>
              <w:rPr>
                <w:sz w:val="4"/>
                <w:szCs w:val="4"/>
              </w:rPr>
            </w:r>
          </w:p>
        </w:tc>
        <w:tc>
          <w:tcPr>
            <w:tcW w:w="466"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b w:val="false"/>
                <w:i w:val="false"/>
                <w:caps w:val="false"/>
                <w:smallCaps w:val="false"/>
                <w:sz w:val="20"/>
              </w:rPr>
              <w:t>(i)</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238" w:type="dxa"/>
            <w:tcBorders/>
          </w:tcPr>
          <w:p>
            <w:pPr>
              <w:pStyle w:val="TableContents"/>
              <w:bidi w:val="0"/>
              <w:spacing w:lineRule="auto" w:line="240" w:before="0" w:after="240"/>
              <w:ind w:left="0" w:right="144" w:hanging="0"/>
              <w:jc w:val="left"/>
              <w:rPr>
                <w:rFonts w:ascii="Times New Roman" w:hAnsi="Times New Roman"/>
                <w:sz w:val="20"/>
              </w:rPr>
            </w:pPr>
            <w:r>
              <w:rPr>
                <w:rFonts w:ascii="Times New Roman" w:hAnsi="Times New Roman"/>
                <w:color w:val="000000"/>
                <w:sz w:val="20"/>
              </w:rPr>
              <w:t xml:space="preserve">the Quarterly Report on Form 10-Q of the Company for the quarter ended </w:t>
            </w:r>
            <w:bookmarkStart w:id="30" w:name="led29080F20203151586979829033"/>
            <w:bookmarkEnd w:id="30"/>
            <w:r>
              <w:rPr>
                <w:rFonts w:ascii="Times New Roman" w:hAnsi="Times New Roman"/>
                <w:color w:val="000000"/>
                <w:sz w:val="20"/>
              </w:rPr>
              <w:t>March 31, 2026 (the “Report”) fully complies with the requirements of Section 13(a) or Section 15(d), as applicable, of the Securities Exchange Act of 1934, as amended; and</w:t>
            </w:r>
          </w:p>
        </w:tc>
      </w:tr>
    </w:tbl>
    <w:tbl>
      <w:tblPr>
        <w:tblW w:w="8765" w:type="dxa"/>
        <w:jc w:val="left"/>
        <w:tblInd w:w="720" w:type="dxa"/>
        <w:tblLayout w:type="fixed"/>
        <w:tblCellMar>
          <w:top w:w="0" w:type="dxa"/>
          <w:left w:w="0" w:type="dxa"/>
          <w:bottom w:w="0" w:type="dxa"/>
          <w:right w:w="0" w:type="dxa"/>
        </w:tblCellMar>
      </w:tblPr>
      <w:tblGrid>
        <w:gridCol w:w="38"/>
        <w:gridCol w:w="556"/>
        <w:gridCol w:w="23"/>
        <w:gridCol w:w="8148"/>
      </w:tblGrid>
      <w:tr>
        <w:trPr/>
        <w:tc>
          <w:tcPr>
            <w:tcW w:w="38" w:type="dxa"/>
            <w:tcBorders/>
            <w:vAlign w:val="center"/>
          </w:tcPr>
          <w:p>
            <w:pPr>
              <w:pStyle w:val="TableContents"/>
              <w:bidi w:val="0"/>
              <w:spacing w:before="0" w:after="283"/>
              <w:jc w:val="left"/>
              <w:rPr>
                <w:sz w:val="4"/>
                <w:szCs w:val="4"/>
              </w:rPr>
            </w:pPr>
            <w:r>
              <w:rPr>
                <w:sz w:val="4"/>
                <w:szCs w:val="4"/>
              </w:rPr>
            </w:r>
          </w:p>
        </w:tc>
        <w:tc>
          <w:tcPr>
            <w:tcW w:w="556"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b w:val="false"/>
                <w:i w:val="false"/>
                <w:caps w:val="false"/>
                <w:smallCaps w:val="false"/>
                <w:sz w:val="20"/>
              </w:rPr>
              <w:t>(ii)</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148"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tbl>
      <w:tblPr>
        <w:tblW w:w="3275" w:type="dxa"/>
        <w:jc w:val="left"/>
        <w:tblInd w:w="720" w:type="dxa"/>
        <w:tblLayout w:type="fixed"/>
        <w:tblCellMar>
          <w:top w:w="0" w:type="dxa"/>
          <w:left w:w="0" w:type="dxa"/>
          <w:bottom w:w="0" w:type="dxa"/>
          <w:right w:w="0" w:type="dxa"/>
        </w:tblCellMar>
      </w:tblPr>
      <w:tblGrid>
        <w:gridCol w:w="135"/>
        <w:gridCol w:w="3140"/>
      </w:tblGrid>
      <w:tr>
        <w:trPr/>
        <w:tc>
          <w:tcPr>
            <w:tcW w:w="135" w:type="dxa"/>
            <w:tcBorders/>
            <w:vAlign w:val="bottom"/>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3140" w:type="dxa"/>
            <w:tcBorders/>
            <w:vAlign w:val="bottom"/>
          </w:tcPr>
          <w:p>
            <w:pPr>
              <w:pStyle w:val="TableContents"/>
              <w:bidi w:val="0"/>
              <w:spacing w:lineRule="auto" w:line="240" w:before="0" w:after="0"/>
              <w:ind w:left="0" w:right="0" w:hanging="0"/>
              <w:jc w:val="left"/>
              <w:rPr/>
            </w:pPr>
            <w:r>
              <w:rPr/>
              <w:t> </w:t>
            </w:r>
          </w:p>
        </w:tc>
      </w:tr>
      <w:tr>
        <w:trPr/>
        <w:tc>
          <w:tcPr>
            <w:tcW w:w="135" w:type="dxa"/>
            <w:tcBorders/>
            <w:vAlign w:val="bottom"/>
          </w:tcPr>
          <w:p>
            <w:pPr>
              <w:pStyle w:val="TableContents"/>
              <w:bidi w:val="0"/>
              <w:spacing w:lineRule="auto" w:line="240" w:before="0" w:after="0"/>
              <w:ind w:left="0" w:right="0" w:hanging="0"/>
              <w:jc w:val="left"/>
              <w:rPr/>
            </w:pPr>
            <w:r>
              <w:rPr/>
              <w:t>  </w:t>
            </w:r>
          </w:p>
        </w:tc>
        <w:tc>
          <w:tcPr>
            <w:tcW w:w="3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Michael J. Koss</w:t>
            </w:r>
          </w:p>
        </w:tc>
      </w:tr>
      <w:tr>
        <w:trPr/>
        <w:tc>
          <w:tcPr>
            <w:tcW w:w="135" w:type="dxa"/>
            <w:tcBorders/>
            <w:vAlign w:val="bottom"/>
          </w:tcPr>
          <w:p>
            <w:pPr>
              <w:pStyle w:val="TableContents"/>
              <w:bidi w:val="0"/>
              <w:spacing w:lineRule="auto" w:line="240" w:before="0" w:after="0"/>
              <w:ind w:left="0" w:right="0" w:hanging="0"/>
              <w:jc w:val="left"/>
              <w:rPr/>
            </w:pPr>
            <w:r>
              <w:rPr/>
              <w:t> </w:t>
            </w:r>
          </w:p>
        </w:tc>
        <w:tc>
          <w:tcPr>
            <w:tcW w:w="3140"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Michael J. Koss</w:t>
            </w:r>
          </w:p>
        </w:tc>
      </w:tr>
      <w:tr>
        <w:trPr/>
        <w:tc>
          <w:tcPr>
            <w:tcW w:w="135" w:type="dxa"/>
            <w:tcBorders/>
            <w:vAlign w:val="bottom"/>
          </w:tcPr>
          <w:p>
            <w:pPr>
              <w:pStyle w:val="TableContents"/>
              <w:bidi w:val="0"/>
              <w:spacing w:lineRule="auto" w:line="240" w:before="0" w:after="0"/>
              <w:ind w:left="0" w:right="0" w:hanging="0"/>
              <w:jc w:val="left"/>
              <w:rPr/>
            </w:pPr>
            <w:r>
              <w:rPr/>
              <w:t> </w:t>
            </w:r>
          </w:p>
        </w:tc>
        <w:tc>
          <w:tcPr>
            <w:tcW w:w="3140"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135" w:type="dxa"/>
            <w:tcBorders/>
            <w:vAlign w:val="bottom"/>
          </w:tcPr>
          <w:p>
            <w:pPr>
              <w:pStyle w:val="TableContents"/>
              <w:bidi w:val="0"/>
              <w:spacing w:lineRule="auto" w:line="240" w:before="0" w:after="0"/>
              <w:ind w:left="0" w:right="0" w:hanging="0"/>
              <w:jc w:val="left"/>
              <w:rPr/>
            </w:pPr>
            <w:r>
              <w:rPr/>
              <w:t> </w:t>
            </w:r>
          </w:p>
        </w:tc>
        <w:tc>
          <w:tcPr>
            <w:tcW w:w="3140"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Dated: May 8, 2026</w:t>
            </w:r>
          </w:p>
        </w:tc>
      </w:tr>
    </w:tbl>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720" w:right="864"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spacing w:lineRule="auto" w:line="240" w:before="0" w:after="0"/>
        <w:ind w:left="720" w:right="720" w:hanging="0"/>
        <w:jc w:val="right"/>
        <w:rPr>
          <w:rFonts w:ascii="Times New Roman" w:hAnsi="Times New Roman"/>
          <w:sz w:val="20"/>
        </w:rPr>
      </w:pPr>
      <w:bookmarkStart w:id="31" w:name="koss-20260331xex32_2.htm"/>
      <w:bookmarkStart w:id="32" w:name="kskoss20260331xex32_2"/>
      <w:bookmarkEnd w:id="31"/>
      <w:bookmarkEnd w:id="32"/>
      <w:r>
        <w:rPr>
          <w:rFonts w:ascii="Times New Roman" w:hAnsi="Times New Roman"/>
          <w:b/>
          <w:sz w:val="20"/>
        </w:rPr>
        <w:t>Exhibit 32.2</w:t>
      </w:r>
      <w:r>
        <w:rPr>
          <w:rFonts w:ascii="Times New Roman" w:hAnsi="Times New Roman"/>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Certification of Chief Financial Officer</w:t>
      </w:r>
      <w:r>
        <w:rPr>
          <w:rFonts w:ascii="Times New Roman" w:hAnsi="Times New Roman"/>
          <w:sz w:val="20"/>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Pursuant to Section 906 of the Sarbanes-Oxley Act of 2002, </w:t>
      </w:r>
      <w:r>
        <w:rPr>
          <w:rFonts w:ascii="Times New Roman" w:hAnsi="Times New Roman"/>
          <w:sz w:val="20"/>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18 U.S.C. Section 1350</w:t>
      </w:r>
      <w:r>
        <w:rPr>
          <w:rFonts w:ascii="Times New Roman" w:hAnsi="Times New Roman"/>
          <w:sz w:val="20"/>
        </w:rPr>
        <w:t xml:space="preserve"> </w:t>
      </w:r>
    </w:p>
    <w:p>
      <w:pPr>
        <w:pStyle w:val="TextBody"/>
        <w:bidi w:val="0"/>
        <w:spacing w:lineRule="auto" w:line="240" w:before="0" w:after="0"/>
        <w:ind w:left="864" w:right="864" w:hanging="0"/>
        <w:jc w:val="center"/>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sz w:val="20"/>
        </w:rPr>
        <w:t xml:space="preserve">I, Kim M. Schulte, Chief Financial Officer of Koss Corporation (the “Company”), hereby certify, pursuant to Section 906 of the Sarbanes-Oxley Act of 2002, 18 U.S.C. Section 1350 that to my knowledge: </w:t>
      </w:r>
    </w:p>
    <w:p>
      <w:pPr>
        <w:pStyle w:val="TextBody"/>
        <w:bidi w:val="0"/>
        <w:spacing w:lineRule="auto" w:line="240" w:before="0" w:after="0"/>
        <w:ind w:left="864" w:right="864" w:hanging="0"/>
        <w:jc w:val="left"/>
        <w:rPr/>
      </w:pPr>
      <w:r>
        <w:rPr/>
        <w:t xml:space="preserve">  </w:t>
      </w:r>
    </w:p>
    <w:tbl>
      <w:tblPr>
        <w:tblW w:w="8765" w:type="dxa"/>
        <w:jc w:val="left"/>
        <w:tblInd w:w="720" w:type="dxa"/>
        <w:tblLayout w:type="fixed"/>
        <w:tblCellMar>
          <w:top w:w="0" w:type="dxa"/>
          <w:left w:w="0" w:type="dxa"/>
          <w:bottom w:w="0" w:type="dxa"/>
          <w:right w:w="0" w:type="dxa"/>
        </w:tblCellMar>
      </w:tblPr>
      <w:tblGrid>
        <w:gridCol w:w="38"/>
        <w:gridCol w:w="466"/>
        <w:gridCol w:w="23"/>
        <w:gridCol w:w="8238"/>
      </w:tblGrid>
      <w:tr>
        <w:trPr/>
        <w:tc>
          <w:tcPr>
            <w:tcW w:w="38" w:type="dxa"/>
            <w:tcBorders/>
            <w:vAlign w:val="center"/>
          </w:tcPr>
          <w:p>
            <w:pPr>
              <w:pStyle w:val="TableContents"/>
              <w:bidi w:val="0"/>
              <w:spacing w:before="0" w:after="283"/>
              <w:jc w:val="left"/>
              <w:rPr>
                <w:sz w:val="4"/>
                <w:szCs w:val="4"/>
              </w:rPr>
            </w:pPr>
            <w:r>
              <w:rPr>
                <w:sz w:val="4"/>
                <w:szCs w:val="4"/>
              </w:rPr>
            </w:r>
          </w:p>
        </w:tc>
        <w:tc>
          <w:tcPr>
            <w:tcW w:w="466"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b w:val="false"/>
                <w:i w:val="false"/>
                <w:caps w:val="false"/>
                <w:smallCaps w:val="false"/>
                <w:sz w:val="20"/>
              </w:rPr>
              <w:t>(i)</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238" w:type="dxa"/>
            <w:tcBorders/>
          </w:tcPr>
          <w:p>
            <w:pPr>
              <w:pStyle w:val="TableContents"/>
              <w:bidi w:val="0"/>
              <w:spacing w:lineRule="auto" w:line="240" w:before="0" w:after="240"/>
              <w:ind w:left="0" w:right="144" w:hanging="0"/>
              <w:jc w:val="left"/>
              <w:rPr>
                <w:rFonts w:ascii="Times New Roman" w:hAnsi="Times New Roman"/>
                <w:sz w:val="20"/>
              </w:rPr>
            </w:pPr>
            <w:r>
              <w:rPr>
                <w:rFonts w:ascii="Times New Roman" w:hAnsi="Times New Roman"/>
                <w:color w:val="000000"/>
                <w:sz w:val="20"/>
              </w:rPr>
              <w:t xml:space="preserve">the Quarterly Report on Form 10-Q of the Company for the quarter </w:t>
            </w:r>
            <w:bookmarkStart w:id="33" w:name="led29080F20203151586979857379"/>
            <w:bookmarkEnd w:id="33"/>
            <w:r>
              <w:rPr>
                <w:rFonts w:ascii="Times New Roman" w:hAnsi="Times New Roman"/>
                <w:color w:val="000000"/>
                <w:sz w:val="20"/>
              </w:rPr>
              <w:t>ended March 31, 2026 (the “Report”) fully complies with the requirements of Section 13(a) or Section 15(d), as applicable, of the Securities Exchange Act of 1934, as amended; and</w:t>
            </w:r>
          </w:p>
        </w:tc>
      </w:tr>
    </w:tbl>
    <w:tbl>
      <w:tblPr>
        <w:tblW w:w="8765" w:type="dxa"/>
        <w:jc w:val="left"/>
        <w:tblInd w:w="720" w:type="dxa"/>
        <w:tblLayout w:type="fixed"/>
        <w:tblCellMar>
          <w:top w:w="0" w:type="dxa"/>
          <w:left w:w="0" w:type="dxa"/>
          <w:bottom w:w="0" w:type="dxa"/>
          <w:right w:w="0" w:type="dxa"/>
        </w:tblCellMar>
      </w:tblPr>
      <w:tblGrid>
        <w:gridCol w:w="38"/>
        <w:gridCol w:w="556"/>
        <w:gridCol w:w="23"/>
        <w:gridCol w:w="8148"/>
      </w:tblGrid>
      <w:tr>
        <w:trPr/>
        <w:tc>
          <w:tcPr>
            <w:tcW w:w="38" w:type="dxa"/>
            <w:tcBorders/>
            <w:vAlign w:val="center"/>
          </w:tcPr>
          <w:p>
            <w:pPr>
              <w:pStyle w:val="TableContents"/>
              <w:bidi w:val="0"/>
              <w:spacing w:before="0" w:after="283"/>
              <w:jc w:val="left"/>
              <w:rPr>
                <w:sz w:val="4"/>
                <w:szCs w:val="4"/>
              </w:rPr>
            </w:pPr>
            <w:r>
              <w:rPr>
                <w:sz w:val="4"/>
                <w:szCs w:val="4"/>
              </w:rPr>
            </w:r>
          </w:p>
        </w:tc>
        <w:tc>
          <w:tcPr>
            <w:tcW w:w="556"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b w:val="false"/>
                <w:i w:val="false"/>
                <w:caps w:val="false"/>
                <w:smallCaps w:val="false"/>
                <w:sz w:val="20"/>
              </w:rPr>
              <w:t>(ii)</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148"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tbl>
      <w:tblPr>
        <w:tblW w:w="1970" w:type="dxa"/>
        <w:jc w:val="left"/>
        <w:tblInd w:w="720" w:type="dxa"/>
        <w:tblLayout w:type="fixed"/>
        <w:tblCellMar>
          <w:top w:w="0" w:type="dxa"/>
          <w:left w:w="0" w:type="dxa"/>
          <w:bottom w:w="0" w:type="dxa"/>
          <w:right w:w="0" w:type="dxa"/>
        </w:tblCellMar>
      </w:tblPr>
      <w:tblGrid>
        <w:gridCol w:w="75"/>
        <w:gridCol w:w="1895"/>
      </w:tblGrid>
      <w:tr>
        <w:trPr/>
        <w:tc>
          <w:tcPr>
            <w:tcW w:w="75" w:type="dxa"/>
            <w:tcBorders/>
            <w:vAlign w:val="bottom"/>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1895" w:type="dxa"/>
            <w:tcBorders/>
            <w:vAlign w:val="bottom"/>
          </w:tcPr>
          <w:p>
            <w:pPr>
              <w:pStyle w:val="TableContents"/>
              <w:bidi w:val="0"/>
              <w:spacing w:lineRule="auto" w:line="240" w:before="0" w:after="0"/>
              <w:ind w:left="0" w:right="0" w:hanging="0"/>
              <w:jc w:val="left"/>
              <w:rPr/>
            </w:pPr>
            <w:r>
              <w:rPr/>
              <w:t> </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189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Kim M. Schulte</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18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Kim M. Schulte</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18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Chief Financial Officer</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18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Dated: May 8, 2026</w:t>
            </w:r>
          </w:p>
        </w:tc>
      </w:tr>
    </w:tbl>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720" w:right="864" w:hanging="0"/>
        <w:jc w:val="left"/>
        <w:rPr/>
      </w:pPr>
      <w:r>
        <w:rPr/>
        <w:t xml:space="preserve">  </w:t>
      </w:r>
    </w:p>
    <w:p>
      <w:pPr>
        <w:pStyle w:val="HorizontalLine"/>
        <w:pBdr>
          <w:bottom w:val="double" w:sz="6" w:space="0" w:color="808080"/>
        </w:pBdr>
        <w:bidi w:val="0"/>
        <w:spacing w:before="0" w:after="283"/>
        <w:ind w:left="720" w:right="72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Calibri">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56701/000110465910007400/a10-3870_1ex3d1.htm" TargetMode="External"/><Relationship Id="rId3" Type="http://schemas.openxmlformats.org/officeDocument/2006/relationships/hyperlink" Target="http://www.sec.gov/Archives/edgar/data/56701/0000950124-96-004183.txt" TargetMode="External"/><Relationship Id="rId4" Type="http://schemas.openxmlformats.org/officeDocument/2006/relationships/hyperlink" Target="http://www.sec.gov/Archives/edgar/data/56701/000118143106017205/rrd110598_12229.htm" TargetMode="External"/><Relationship Id="rId5" Type="http://schemas.openxmlformats.org/officeDocument/2006/relationships/hyperlink" Target="http://www.sec.gov/Archives/edgar/data/56701/000143774920018841/ex_20104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13719</Words>
  <Characters>76711</Characters>
  <CharactersWithSpaces>89574</CharactersWithSpaces>
  <Paragraphs>1758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